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4E" w:rsidRPr="007C084E" w:rsidRDefault="00B17177" w:rsidP="007C084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084E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E40A339" wp14:editId="50C2A43D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84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6238C87" wp14:editId="2CD3051D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84E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February 1</w:t>
      </w:r>
      <w:r w:rsidR="001057DF">
        <w:rPr>
          <w:rFonts w:ascii="Times New Roman" w:eastAsia="Times New Roman" w:hAnsi="Times New Roman" w:cs="Times New Roman"/>
          <w:sz w:val="24"/>
          <w:szCs w:val="20"/>
          <w:lang w:val="en-US"/>
        </w:rPr>
        <w:t>4</w:t>
      </w:r>
      <w:r w:rsidR="007C084E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, 2014</w:t>
      </w:r>
      <w:r w:rsidR="0041468B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NWB File Number:  2BE-</w:t>
      </w:r>
      <w:r w:rsidR="007C084E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MVP1217</w:t>
      </w:r>
    </w:p>
    <w:p w:rsidR="007C084E" w:rsidRDefault="007C084E" w:rsidP="007C0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C084E" w:rsidRDefault="007C084E" w:rsidP="007C0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Clayton Pearson</w:t>
      </w:r>
    </w:p>
    <w:p w:rsidR="007C084E" w:rsidRPr="007C084E" w:rsidRDefault="007C084E" w:rsidP="007C0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Project Geologist</w:t>
      </w:r>
    </w:p>
    <w:p w:rsidR="007C084E" w:rsidRPr="007C084E" w:rsidRDefault="007C084E" w:rsidP="007C0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Vale Exploration Canada Inc.</w:t>
      </w:r>
    </w:p>
    <w:p w:rsidR="007C084E" w:rsidRPr="007C084E" w:rsidRDefault="007C084E" w:rsidP="007C0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Highway 17 West, Copper Cliff, ON</w:t>
      </w:r>
    </w:p>
    <w:p w:rsidR="007C084E" w:rsidRPr="007C084E" w:rsidRDefault="007C084E" w:rsidP="007C0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P0M 1N0</w:t>
      </w:r>
    </w:p>
    <w:p w:rsidR="0041468B" w:rsidRPr="007C084E" w:rsidRDefault="007C084E" w:rsidP="007C0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</w:t>
      </w:r>
      <w:hyperlink r:id="rId11" w:history="1">
        <w:r w:rsidRPr="007C084E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clayton.pearson@vale.com</w:t>
        </w:r>
      </w:hyperlink>
      <w:r w:rsidRPr="007C084E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 xml:space="preserve"> </w:t>
      </w:r>
    </w:p>
    <w:p w:rsidR="0041468B" w:rsidRPr="007C084E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7C084E" w:rsidRDefault="0041468B" w:rsidP="007C0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Request for Cancellation of Water Licence 2BE-</w:t>
      </w:r>
      <w:r w:rsidR="007C084E" w:rsidRPr="007C084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MVP1217</w:t>
      </w:r>
      <w:r w:rsidRPr="007C084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7C084E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Melville Project</w:t>
      </w:r>
    </w:p>
    <w:p w:rsidR="007C084E" w:rsidRDefault="007C084E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7C084E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7C084E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Clayton Pearson</w:t>
      </w: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41468B" w:rsidRPr="007C084E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7C084E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This</w:t>
      </w:r>
      <w:r w:rsidR="007C084E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letter acknowledges receipt on December 16, 2013 </w:t>
      </w: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of an application from </w:t>
      </w:r>
      <w:r w:rsidR="007C084E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Vale Exploration Canada </w:t>
      </w:r>
      <w:proofErr w:type="spellStart"/>
      <w:r w:rsidR="007C084E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Inc</w:t>
      </w:r>
      <w:proofErr w:type="spellEnd"/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to cancel Water Licence </w:t>
      </w:r>
      <w:r w:rsidR="007C084E"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2BE-MVP1217</w:t>
      </w: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(Application). In accordance with Section 43(1) (c) of the </w:t>
      </w:r>
      <w:r w:rsidRPr="007C084E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the Nunavut Water Board (Board or NWB) may cancel a </w:t>
      </w:r>
      <w:proofErr w:type="spellStart"/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application by the licensee. </w:t>
      </w:r>
    </w:p>
    <w:p w:rsidR="0041468B" w:rsidRPr="007C084E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7C084E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C084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application can be obtained from our ftp s</w:t>
      </w:r>
      <w:r w:rsidR="007C084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ite:</w:t>
      </w:r>
      <w:r w:rsidR="00A42F14" w:rsidRPr="00A42F14">
        <w:t xml:space="preserve"> </w:t>
      </w:r>
      <w:hyperlink r:id="rId12" w:history="1">
        <w:r w:rsidR="00A42F14" w:rsidRPr="00044CDA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ftp://nunavutwaterboard.org/1%20PRUC/2%20MINING%20MILLING/2B/2BE%20-%20Exploration/2BE-MVP1217%20Vale%20Exploration/1%20APPLICATION/</w:t>
        </w:r>
      </w:hyperlink>
      <w:r w:rsidR="00A42F1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7C084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C084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with Username:</w:t>
      </w:r>
      <w:r w:rsidR="00114D20" w:rsidRPr="007C084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="00114D20" w:rsidRPr="007C084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>public</w:t>
      </w:r>
      <w:r w:rsidRPr="007C084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Password</w:t>
      </w:r>
      <w:proofErr w:type="spellEnd"/>
      <w:r w:rsidRPr="007C084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</w:t>
      </w:r>
      <w:r w:rsidRPr="007C084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registry.</w:t>
      </w:r>
    </w:p>
    <w:p w:rsidR="0041468B" w:rsidRPr="007C084E" w:rsidRDefault="0041468B" w:rsidP="0041468B">
      <w:pPr>
        <w:tabs>
          <w:tab w:val="left" w:pos="810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41468B" w:rsidRPr="007C084E" w:rsidRDefault="0041468B" w:rsidP="00114D20">
      <w:pPr>
        <w:tabs>
          <w:tab w:val="left" w:pos="720"/>
          <w:tab w:val="left" w:pos="90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 w:rsidRPr="007C084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To ensure this application is dealt with in a timely fashion, the NWB forwards notice of all documentation to regulators and council of the municipality(</w:t>
      </w:r>
      <w:proofErr w:type="spellStart"/>
      <w:r w:rsidRPr="007C084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ies</w:t>
      </w:r>
      <w:proofErr w:type="spellEnd"/>
      <w:r w:rsidRPr="007C084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) most affected by the project, inviting interested parties to make representation directly to the NWB </w:t>
      </w:r>
      <w:r w:rsidRPr="007C084E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 xml:space="preserve">within 30 days from the date of this letter.  </w:t>
      </w:r>
      <w:r w:rsidRPr="007C084E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The NWB may provide additional procedural instructions once the application has been reviewed by interested parties.</w:t>
      </w:r>
    </w:p>
    <w:p w:rsidR="0041468B" w:rsidRPr="007C084E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7C084E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The Board further requests that Aboriginal Affairs and Northern Development Canada advise the Board when a final site inspection is complete.</w:t>
      </w:r>
      <w:proofErr w:type="gramEnd"/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At that time the Board will make a determination on the Application.</w:t>
      </w:r>
    </w:p>
    <w:p w:rsidR="0041468B" w:rsidRPr="007C084E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7C084E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41468B" w:rsidRPr="007C084E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C084E" w:rsidRPr="001057DF" w:rsidRDefault="001057DF" w:rsidP="001057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Original signed by;</w:t>
      </w:r>
      <w:bookmarkStart w:id="0" w:name="_GoBack"/>
      <w:bookmarkEnd w:id="0"/>
    </w:p>
    <w:p w:rsidR="001057DF" w:rsidRPr="007C084E" w:rsidRDefault="001057DF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Default="007C084E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7C084E" w:rsidRPr="007C084E" w:rsidRDefault="007C084E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 Assistant</w:t>
      </w:r>
    </w:p>
    <w:p w:rsidR="0041468B" w:rsidRPr="007C084E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C2632" w:rsidRPr="007C2632" w:rsidRDefault="0041468B" w:rsidP="004146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u w:val="single"/>
          <w:lang w:val="en-US"/>
        </w:rPr>
      </w:pP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 Distribution </w:t>
      </w:r>
      <w:r w:rsidR="00B94C79">
        <w:rPr>
          <w:rFonts w:ascii="Times New Roman" w:eastAsia="Times New Roman" w:hAnsi="Times New Roman" w:cs="Times New Roman"/>
          <w:sz w:val="24"/>
          <w:szCs w:val="20"/>
          <w:lang w:val="en-US"/>
        </w:rPr>
        <w:t>–</w:t>
      </w:r>
      <w:r w:rsidRPr="007C084E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K</w:t>
      </w:r>
      <w:r w:rsidR="00B94C79">
        <w:rPr>
          <w:rFonts w:ascii="Times New Roman" w:eastAsia="Times New Roman" w:hAnsi="Times New Roman" w:cs="Times New Roman"/>
          <w:sz w:val="24"/>
          <w:szCs w:val="20"/>
          <w:lang w:val="en-US"/>
        </w:rPr>
        <w:t>ivalliq</w:t>
      </w:r>
      <w:r w:rsidR="001057DF">
        <w:rPr>
          <w:rFonts w:ascii="Times New Roman" w:eastAsia="Times New Roman" w:hAnsi="Times New Roman" w:cs="Times New Roman"/>
          <w:sz w:val="24"/>
          <w:szCs w:val="20"/>
          <w:lang w:val="en-US"/>
        </w:rPr>
        <w:t>, Qikiqtani and Kitikmeot</w:t>
      </w:r>
    </w:p>
    <w:sectPr w:rsidR="007C2632" w:rsidRPr="007C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057DF"/>
    <w:rsid w:val="00111489"/>
    <w:rsid w:val="00114D20"/>
    <w:rsid w:val="00290B1D"/>
    <w:rsid w:val="002B39C0"/>
    <w:rsid w:val="0041468B"/>
    <w:rsid w:val="00583139"/>
    <w:rsid w:val="005D5AEE"/>
    <w:rsid w:val="00761651"/>
    <w:rsid w:val="007C084E"/>
    <w:rsid w:val="007C2632"/>
    <w:rsid w:val="00832B85"/>
    <w:rsid w:val="0098439C"/>
    <w:rsid w:val="00A32A24"/>
    <w:rsid w:val="00A42F14"/>
    <w:rsid w:val="00A510CB"/>
    <w:rsid w:val="00B17177"/>
    <w:rsid w:val="00B94C79"/>
    <w:rsid w:val="00CC2E33"/>
    <w:rsid w:val="00D309C1"/>
    <w:rsid w:val="00DC0A8D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tp://nunavutwaterboard.org/1%20PRUC/2%20MINING%20MILLING/2B/2BE%20-%20Exploration/2BE-MVP1217%20Vale%20Exploration/1%20APPLICA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ayton.pearson@vale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0470-03CE-4CEC-87EC-6B7FE74A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6</cp:revision>
  <cp:lastPrinted>2014-02-14T17:49:00Z</cp:lastPrinted>
  <dcterms:created xsi:type="dcterms:W3CDTF">2014-02-13T20:33:00Z</dcterms:created>
  <dcterms:modified xsi:type="dcterms:W3CDTF">2014-02-14T17:50:00Z</dcterms:modified>
</cp:coreProperties>
</file>