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898"/>
        <w:gridCol w:w="3117"/>
      </w:tblGrid>
      <w:tr w:rsidR="002D206C" w14:paraId="2C59614B" w14:textId="77777777" w:rsidTr="002D206C">
        <w:tc>
          <w:tcPr>
            <w:tcW w:w="2335" w:type="dxa"/>
          </w:tcPr>
          <w:p w14:paraId="1E3211DE" w14:textId="0DBD658F" w:rsidR="002D206C" w:rsidRDefault="002D206C">
            <w:bookmarkStart w:id="0" w:name="_GoBack"/>
            <w:bookmarkEnd w:id="0"/>
            <w:r>
              <w:t xml:space="preserve">Location </w:t>
            </w:r>
          </w:p>
        </w:tc>
        <w:tc>
          <w:tcPr>
            <w:tcW w:w="3898" w:type="dxa"/>
          </w:tcPr>
          <w:p w14:paraId="5BDEE87A" w14:textId="09B99387" w:rsidR="002D206C" w:rsidRDefault="002D206C">
            <w:r>
              <w:t>Edit</w:t>
            </w:r>
          </w:p>
        </w:tc>
        <w:tc>
          <w:tcPr>
            <w:tcW w:w="3117" w:type="dxa"/>
          </w:tcPr>
          <w:p w14:paraId="01E43F34" w14:textId="44BE6270" w:rsidR="002D206C" w:rsidRDefault="002D206C">
            <w:r>
              <w:t>Agnico Eagle Response</w:t>
            </w:r>
          </w:p>
        </w:tc>
      </w:tr>
      <w:tr w:rsidR="00635F53" w14:paraId="309DBA9B" w14:textId="77777777" w:rsidTr="002D206C">
        <w:tc>
          <w:tcPr>
            <w:tcW w:w="2335" w:type="dxa"/>
            <w:vMerge w:val="restart"/>
          </w:tcPr>
          <w:p w14:paraId="7BF644F3" w14:textId="50086CF5" w:rsidR="00635F53" w:rsidRDefault="00635F53" w:rsidP="00635F53">
            <w:r w:rsidRPr="002D206C">
              <w:t>Meliadine gold project 2019 Annual Report</w:t>
            </w:r>
          </w:p>
        </w:tc>
        <w:tc>
          <w:tcPr>
            <w:tcW w:w="3898" w:type="dxa"/>
          </w:tcPr>
          <w:p w14:paraId="6260DA0B" w14:textId="3D43204D" w:rsidR="00635F53" w:rsidRDefault="00635F53" w:rsidP="00635F53">
            <w:r w:rsidRPr="002D206C">
              <w:t>When referencing the tables in the text of the document the in-text reference is off by one table greater than the table that should be referenced from Table 2 to Table 25</w:t>
            </w:r>
          </w:p>
        </w:tc>
        <w:tc>
          <w:tcPr>
            <w:tcW w:w="3117" w:type="dxa"/>
          </w:tcPr>
          <w:p w14:paraId="31C012CB" w14:textId="5AF8C156" w:rsidR="00635F53" w:rsidRDefault="00635F53" w:rsidP="00635F53">
            <w:r w:rsidRPr="00635F53">
              <w:rPr>
                <w:color w:val="4472C4" w:themeColor="accent1"/>
              </w:rPr>
              <w:t>References were adjusted; r</w:t>
            </w:r>
            <w:r w:rsidRPr="00635F53">
              <w:rPr>
                <w:rFonts w:eastAsia="Times New Roman"/>
                <w:color w:val="4472C4" w:themeColor="accent1"/>
              </w:rPr>
              <w:t>evised annual report document attached.</w:t>
            </w:r>
          </w:p>
        </w:tc>
      </w:tr>
      <w:tr w:rsidR="00635F53" w14:paraId="1899C0C2" w14:textId="77777777" w:rsidTr="002D206C">
        <w:tc>
          <w:tcPr>
            <w:tcW w:w="2335" w:type="dxa"/>
            <w:vMerge/>
          </w:tcPr>
          <w:p w14:paraId="2E0CA360" w14:textId="77777777" w:rsidR="00635F53" w:rsidRDefault="00635F53" w:rsidP="00635F53"/>
        </w:tc>
        <w:tc>
          <w:tcPr>
            <w:tcW w:w="3898" w:type="dxa"/>
          </w:tcPr>
          <w:p w14:paraId="7EF14640" w14:textId="1E76046A" w:rsidR="00635F53" w:rsidRDefault="00635F53" w:rsidP="00635F53">
            <w:r w:rsidRPr="002D206C">
              <w:t>In text references to Figures 7.2 and 7.3 should be for Figures 5 and 6</w:t>
            </w:r>
          </w:p>
        </w:tc>
        <w:tc>
          <w:tcPr>
            <w:tcW w:w="3117" w:type="dxa"/>
          </w:tcPr>
          <w:p w14:paraId="35E47643" w14:textId="443A12A2" w:rsidR="00635F53" w:rsidRDefault="00635F53" w:rsidP="00635F53">
            <w:r w:rsidRPr="00635F53">
              <w:rPr>
                <w:color w:val="4472C4" w:themeColor="accent1"/>
              </w:rPr>
              <w:t>References were adjusted; r</w:t>
            </w:r>
            <w:r w:rsidRPr="00635F53">
              <w:rPr>
                <w:rFonts w:eastAsia="Times New Roman"/>
                <w:color w:val="4472C4" w:themeColor="accent1"/>
              </w:rPr>
              <w:t>evised annual report document attached.</w:t>
            </w:r>
          </w:p>
        </w:tc>
      </w:tr>
      <w:tr w:rsidR="00635F53" w14:paraId="662202A5" w14:textId="77777777" w:rsidTr="002D206C">
        <w:tc>
          <w:tcPr>
            <w:tcW w:w="2335" w:type="dxa"/>
            <w:vMerge/>
          </w:tcPr>
          <w:p w14:paraId="5D8492D7" w14:textId="77777777" w:rsidR="00635F53" w:rsidRDefault="00635F53" w:rsidP="00635F53"/>
        </w:tc>
        <w:tc>
          <w:tcPr>
            <w:tcW w:w="3898" w:type="dxa"/>
          </w:tcPr>
          <w:p w14:paraId="52AD06F5" w14:textId="3C48551E" w:rsidR="00635F53" w:rsidRDefault="00635F53" w:rsidP="00635F53">
            <w:r w:rsidRPr="002D206C">
              <w:t>In Section 12.2.2 “…the table provides the reasons given for voluntary terminations” should be referencing “the figure”</w:t>
            </w:r>
          </w:p>
        </w:tc>
        <w:tc>
          <w:tcPr>
            <w:tcW w:w="3117" w:type="dxa"/>
          </w:tcPr>
          <w:p w14:paraId="42021D12" w14:textId="276E57BA" w:rsidR="00635F53" w:rsidRDefault="00635F53" w:rsidP="00635F53">
            <w:r w:rsidRPr="00635F53">
              <w:rPr>
                <w:color w:val="4472C4" w:themeColor="accent1"/>
              </w:rPr>
              <w:t>References w</w:t>
            </w:r>
            <w:r>
              <w:rPr>
                <w:color w:val="4472C4" w:themeColor="accent1"/>
              </w:rPr>
              <w:t>as</w:t>
            </w:r>
            <w:r w:rsidRPr="00635F53">
              <w:rPr>
                <w:color w:val="4472C4" w:themeColor="accent1"/>
              </w:rPr>
              <w:t xml:space="preserve"> adjusted; r</w:t>
            </w:r>
            <w:r w:rsidRPr="00635F53">
              <w:rPr>
                <w:rFonts w:eastAsia="Times New Roman"/>
                <w:color w:val="4472C4" w:themeColor="accent1"/>
              </w:rPr>
              <w:t>evised annual report document attached.</w:t>
            </w:r>
          </w:p>
        </w:tc>
      </w:tr>
      <w:tr w:rsidR="00635F53" w14:paraId="67F81BCD" w14:textId="77777777" w:rsidTr="002D206C">
        <w:tc>
          <w:tcPr>
            <w:tcW w:w="2335" w:type="dxa"/>
            <w:vMerge/>
          </w:tcPr>
          <w:p w14:paraId="41CC5C3E" w14:textId="77777777" w:rsidR="00635F53" w:rsidRDefault="00635F53" w:rsidP="00635F53"/>
        </w:tc>
        <w:tc>
          <w:tcPr>
            <w:tcW w:w="3898" w:type="dxa"/>
          </w:tcPr>
          <w:p w14:paraId="78325D82" w14:textId="13A6B049" w:rsidR="00635F53" w:rsidRDefault="00635F53" w:rsidP="00635F53">
            <w:r w:rsidRPr="002D206C">
              <w:t>Section 3.1.1 Daily freshwater consumption details are found in Appendix A-2 (not A-1)</w:t>
            </w:r>
          </w:p>
        </w:tc>
        <w:tc>
          <w:tcPr>
            <w:tcW w:w="3117" w:type="dxa"/>
          </w:tcPr>
          <w:p w14:paraId="57FB8A5E" w14:textId="2482629F" w:rsidR="00635F53" w:rsidRDefault="00635F53" w:rsidP="00635F53">
            <w:r w:rsidRPr="00635F53">
              <w:rPr>
                <w:color w:val="4472C4" w:themeColor="accent1"/>
              </w:rPr>
              <w:t>References w</w:t>
            </w:r>
            <w:r>
              <w:rPr>
                <w:color w:val="4472C4" w:themeColor="accent1"/>
              </w:rPr>
              <w:t>as</w:t>
            </w:r>
            <w:r w:rsidRPr="00635F53">
              <w:rPr>
                <w:color w:val="4472C4" w:themeColor="accent1"/>
              </w:rPr>
              <w:t xml:space="preserve"> adjusted; r</w:t>
            </w:r>
            <w:r w:rsidRPr="00635F53">
              <w:rPr>
                <w:rFonts w:eastAsia="Times New Roman"/>
                <w:color w:val="4472C4" w:themeColor="accent1"/>
              </w:rPr>
              <w:t>evised annual report document attached.</w:t>
            </w:r>
          </w:p>
        </w:tc>
      </w:tr>
      <w:tr w:rsidR="00635F53" w14:paraId="0BA7481C" w14:textId="77777777" w:rsidTr="002D206C">
        <w:tc>
          <w:tcPr>
            <w:tcW w:w="2335" w:type="dxa"/>
            <w:vMerge/>
          </w:tcPr>
          <w:p w14:paraId="344F77A4" w14:textId="77777777" w:rsidR="00635F53" w:rsidRDefault="00635F53" w:rsidP="00635F53"/>
        </w:tc>
        <w:tc>
          <w:tcPr>
            <w:tcW w:w="3898" w:type="dxa"/>
          </w:tcPr>
          <w:p w14:paraId="3A03DA43" w14:textId="703CE298" w:rsidR="00635F53" w:rsidRDefault="00635F53" w:rsidP="00635F53">
            <w:r w:rsidRPr="002D206C">
              <w:t>Section 7.3.3 – Calibration data for instrumentation is found in Appendix H-2 (not H-3)</w:t>
            </w:r>
          </w:p>
        </w:tc>
        <w:tc>
          <w:tcPr>
            <w:tcW w:w="3117" w:type="dxa"/>
          </w:tcPr>
          <w:p w14:paraId="67ADA531" w14:textId="7BB1ECDC" w:rsidR="00635F53" w:rsidRDefault="00635F53" w:rsidP="00635F53">
            <w:r w:rsidRPr="00635F53">
              <w:rPr>
                <w:color w:val="4472C4" w:themeColor="accent1"/>
              </w:rPr>
              <w:t>References w</w:t>
            </w:r>
            <w:r>
              <w:rPr>
                <w:color w:val="4472C4" w:themeColor="accent1"/>
              </w:rPr>
              <w:t>as</w:t>
            </w:r>
            <w:r w:rsidRPr="00635F53">
              <w:rPr>
                <w:color w:val="4472C4" w:themeColor="accent1"/>
              </w:rPr>
              <w:t xml:space="preserve"> adjusted; r</w:t>
            </w:r>
            <w:r w:rsidRPr="00635F53">
              <w:rPr>
                <w:rFonts w:eastAsia="Times New Roman"/>
                <w:color w:val="4472C4" w:themeColor="accent1"/>
              </w:rPr>
              <w:t>evised annual report document attached.</w:t>
            </w:r>
          </w:p>
        </w:tc>
      </w:tr>
      <w:tr w:rsidR="00635F53" w14:paraId="51B9AE30" w14:textId="77777777" w:rsidTr="002D206C">
        <w:tc>
          <w:tcPr>
            <w:tcW w:w="2335" w:type="dxa"/>
          </w:tcPr>
          <w:p w14:paraId="2B85FE97" w14:textId="56A18418" w:rsidR="00635F53" w:rsidRDefault="00635F53" w:rsidP="00635F53">
            <w:r w:rsidRPr="002D206C">
              <w:t xml:space="preserve">Appendix I-1 Water Management Plan  </w:t>
            </w:r>
          </w:p>
        </w:tc>
        <w:tc>
          <w:tcPr>
            <w:tcW w:w="3898" w:type="dxa"/>
          </w:tcPr>
          <w:p w14:paraId="626E5D4E" w14:textId="4FCEAD00" w:rsidR="00635F53" w:rsidRDefault="00635F53" w:rsidP="00635F53">
            <w:r w:rsidRPr="002D206C">
              <w:t>Table 12 is not included in the list of tables therefore Table 13 to Table 17 should be referring to one previous table</w:t>
            </w:r>
          </w:p>
        </w:tc>
        <w:tc>
          <w:tcPr>
            <w:tcW w:w="3117" w:type="dxa"/>
          </w:tcPr>
          <w:p w14:paraId="4E84A4F8" w14:textId="1CAE99DA" w:rsidR="00635F53" w:rsidRDefault="00635F53" w:rsidP="00635F53">
            <w:r w:rsidRPr="00FB4E76">
              <w:rPr>
                <w:color w:val="4472C4" w:themeColor="accent1"/>
              </w:rPr>
              <w:t xml:space="preserve">Table 12 was included in the list of tables; revised </w:t>
            </w:r>
            <w:r w:rsidR="00836E90">
              <w:rPr>
                <w:color w:val="4472C4" w:themeColor="accent1"/>
              </w:rPr>
              <w:t>document</w:t>
            </w:r>
            <w:r w:rsidRPr="00FB4E76">
              <w:rPr>
                <w:color w:val="4472C4" w:themeColor="accent1"/>
              </w:rPr>
              <w:t xml:space="preserve"> (without appendices due to size of document) is attached.</w:t>
            </w:r>
          </w:p>
        </w:tc>
      </w:tr>
      <w:tr w:rsidR="00635F53" w14:paraId="2F05F77E" w14:textId="77777777" w:rsidTr="002D206C">
        <w:tc>
          <w:tcPr>
            <w:tcW w:w="2335" w:type="dxa"/>
          </w:tcPr>
          <w:p w14:paraId="5B5C3716" w14:textId="65CCB858" w:rsidR="00635F53" w:rsidRDefault="00635F53" w:rsidP="00635F53">
            <w:r w:rsidRPr="002D206C">
              <w:t>Appendix I-3 Mine Waste management Plan</w:t>
            </w:r>
          </w:p>
        </w:tc>
        <w:tc>
          <w:tcPr>
            <w:tcW w:w="3898" w:type="dxa"/>
          </w:tcPr>
          <w:p w14:paraId="4016FC82" w14:textId="2FCA0877" w:rsidR="00635F53" w:rsidRDefault="00635F53" w:rsidP="00635F53">
            <w:r w:rsidRPr="002D206C">
              <w:t>Table 3.1 and 8.2 are missing from the list of tables</w:t>
            </w:r>
          </w:p>
        </w:tc>
        <w:tc>
          <w:tcPr>
            <w:tcW w:w="3117" w:type="dxa"/>
          </w:tcPr>
          <w:p w14:paraId="7BBA240D" w14:textId="7D5F782E" w:rsidR="00635F53" w:rsidRPr="00263500" w:rsidRDefault="00635F53" w:rsidP="00635F53">
            <w:pPr>
              <w:rPr>
                <w:color w:val="4472C4" w:themeColor="accent1"/>
              </w:rPr>
            </w:pPr>
            <w:r w:rsidRPr="00263500">
              <w:rPr>
                <w:color w:val="4472C4" w:themeColor="accent1"/>
              </w:rPr>
              <w:t xml:space="preserve">Tables 3.1 and 8.2 have been added to the list of tables; revised </w:t>
            </w:r>
            <w:r w:rsidR="00836E90">
              <w:rPr>
                <w:color w:val="4472C4" w:themeColor="accent1"/>
              </w:rPr>
              <w:t xml:space="preserve">document </w:t>
            </w:r>
            <w:r w:rsidRPr="00263500">
              <w:rPr>
                <w:color w:val="4472C4" w:themeColor="accent1"/>
              </w:rPr>
              <w:t>is attached.</w:t>
            </w:r>
          </w:p>
        </w:tc>
      </w:tr>
      <w:tr w:rsidR="00635F53" w14:paraId="500DED15" w14:textId="77777777" w:rsidTr="002D206C">
        <w:tc>
          <w:tcPr>
            <w:tcW w:w="2335" w:type="dxa"/>
          </w:tcPr>
          <w:p w14:paraId="75463B40" w14:textId="33D70D27" w:rsidR="00635F53" w:rsidRDefault="00635F53" w:rsidP="00635F53">
            <w:r w:rsidRPr="002D206C">
              <w:t>Appendix I-4 Ore Storage Management Plan</w:t>
            </w:r>
          </w:p>
        </w:tc>
        <w:tc>
          <w:tcPr>
            <w:tcW w:w="3898" w:type="dxa"/>
          </w:tcPr>
          <w:p w14:paraId="225BEFC0" w14:textId="61A2335A" w:rsidR="00635F53" w:rsidRDefault="00635F53" w:rsidP="00635F53">
            <w:r w:rsidRPr="002D206C">
              <w:t>Figure 4.2 and Figure 4.3 are mislabeled in the list of tables</w:t>
            </w:r>
          </w:p>
        </w:tc>
        <w:tc>
          <w:tcPr>
            <w:tcW w:w="3117" w:type="dxa"/>
          </w:tcPr>
          <w:p w14:paraId="3C096900" w14:textId="73607FFD" w:rsidR="00635F53" w:rsidRDefault="00635F53" w:rsidP="00635F53">
            <w:r w:rsidRPr="00BE5479">
              <w:rPr>
                <w:color w:val="4472C4" w:themeColor="accent1"/>
              </w:rPr>
              <w:t xml:space="preserve">Labels for Figures 4.2 and 4.3 have been corrected; revised </w:t>
            </w:r>
            <w:r w:rsidR="00836E90">
              <w:rPr>
                <w:color w:val="4472C4" w:themeColor="accent1"/>
              </w:rPr>
              <w:t>document</w:t>
            </w:r>
            <w:r w:rsidRPr="00BE5479">
              <w:rPr>
                <w:color w:val="4472C4" w:themeColor="accent1"/>
              </w:rPr>
              <w:t xml:space="preserve"> is attached. </w:t>
            </w:r>
          </w:p>
        </w:tc>
      </w:tr>
      <w:tr w:rsidR="00635F53" w14:paraId="68C27AC5" w14:textId="77777777" w:rsidTr="002D206C">
        <w:tc>
          <w:tcPr>
            <w:tcW w:w="2335" w:type="dxa"/>
          </w:tcPr>
          <w:p w14:paraId="414D0E6E" w14:textId="3D5835C7" w:rsidR="00635F53" w:rsidRDefault="00635F53" w:rsidP="00635F53">
            <w:r w:rsidRPr="002D206C">
              <w:t>Appendix I-6 Blast Monitoring Plan</w:t>
            </w:r>
          </w:p>
        </w:tc>
        <w:tc>
          <w:tcPr>
            <w:tcW w:w="3898" w:type="dxa"/>
          </w:tcPr>
          <w:p w14:paraId="442F5698" w14:textId="6091EA18" w:rsidR="00635F53" w:rsidRDefault="00635F53" w:rsidP="00635F53">
            <w:r w:rsidRPr="002D206C">
              <w:t>In-text referencing of tables is a different numbering system than the tables that are referenced</w:t>
            </w:r>
          </w:p>
        </w:tc>
        <w:tc>
          <w:tcPr>
            <w:tcW w:w="3117" w:type="dxa"/>
          </w:tcPr>
          <w:p w14:paraId="6719EDBE" w14:textId="2B940B62" w:rsidR="00635F53" w:rsidRPr="000450D7" w:rsidRDefault="00635F53" w:rsidP="00635F53">
            <w:pPr>
              <w:rPr>
                <w:color w:val="4472C4" w:themeColor="accent1"/>
              </w:rPr>
            </w:pPr>
            <w:r w:rsidRPr="000450D7">
              <w:rPr>
                <w:color w:val="4472C4" w:themeColor="accent1"/>
              </w:rPr>
              <w:t xml:space="preserve">Page 11 in-text referencing to table 2.1 has been corrected; revised </w:t>
            </w:r>
            <w:r w:rsidR="00836E90">
              <w:rPr>
                <w:color w:val="4472C4" w:themeColor="accent1"/>
              </w:rPr>
              <w:t>document</w:t>
            </w:r>
            <w:r w:rsidRPr="000450D7">
              <w:rPr>
                <w:color w:val="4472C4" w:themeColor="accent1"/>
              </w:rPr>
              <w:t xml:space="preserve"> is attached.</w:t>
            </w:r>
          </w:p>
        </w:tc>
      </w:tr>
      <w:tr w:rsidR="00635F53" w14:paraId="1DDBA53C" w14:textId="77777777" w:rsidTr="002D206C">
        <w:tc>
          <w:tcPr>
            <w:tcW w:w="2335" w:type="dxa"/>
          </w:tcPr>
          <w:p w14:paraId="299BB38E" w14:textId="430E1B5B" w:rsidR="00635F53" w:rsidRDefault="00635F53" w:rsidP="00635F53">
            <w:r w:rsidRPr="002D206C">
              <w:t>Appendix I-10 Oil Pollution Emergency Plan</w:t>
            </w:r>
          </w:p>
        </w:tc>
        <w:tc>
          <w:tcPr>
            <w:tcW w:w="3898" w:type="dxa"/>
          </w:tcPr>
          <w:p w14:paraId="55441EFC" w14:textId="2D3F35CE" w:rsidR="00635F53" w:rsidRDefault="00635F53" w:rsidP="00635F53">
            <w:r w:rsidRPr="002D206C">
              <w:t>Section 4: document page numbers do not align with Table of Contents, however the document links link to the right page</w:t>
            </w:r>
          </w:p>
        </w:tc>
        <w:tc>
          <w:tcPr>
            <w:tcW w:w="3117" w:type="dxa"/>
          </w:tcPr>
          <w:p w14:paraId="31657F91" w14:textId="2D1BB919" w:rsidR="00635F53" w:rsidRPr="00A1192D" w:rsidRDefault="00A1192D" w:rsidP="00635F53">
            <w:pPr>
              <w:rPr>
                <w:color w:val="4472C4" w:themeColor="accent1"/>
              </w:rPr>
            </w:pPr>
            <w:r w:rsidRPr="00A1192D">
              <w:rPr>
                <w:color w:val="4472C4" w:themeColor="accent1"/>
              </w:rPr>
              <w:t xml:space="preserve">Pages numbering was adjusted; revised </w:t>
            </w:r>
            <w:r w:rsidR="00836E90">
              <w:rPr>
                <w:color w:val="4472C4" w:themeColor="accent1"/>
              </w:rPr>
              <w:t>document</w:t>
            </w:r>
            <w:r w:rsidRPr="00A1192D">
              <w:rPr>
                <w:color w:val="4472C4" w:themeColor="accent1"/>
              </w:rPr>
              <w:t xml:space="preserve"> is attached. </w:t>
            </w:r>
          </w:p>
        </w:tc>
      </w:tr>
      <w:tr w:rsidR="00635F53" w14:paraId="28BDF76E" w14:textId="77777777" w:rsidTr="002D206C">
        <w:tc>
          <w:tcPr>
            <w:tcW w:w="2335" w:type="dxa"/>
          </w:tcPr>
          <w:p w14:paraId="0E5EB42F" w14:textId="0E369CBF" w:rsidR="00635F53" w:rsidRDefault="00635F53" w:rsidP="00635F53">
            <w:r w:rsidRPr="002D206C">
              <w:t>Appendix I-11 Mine Plan</w:t>
            </w:r>
          </w:p>
        </w:tc>
        <w:tc>
          <w:tcPr>
            <w:tcW w:w="3898" w:type="dxa"/>
          </w:tcPr>
          <w:p w14:paraId="62332A31" w14:textId="47031231" w:rsidR="00635F53" w:rsidRDefault="00635F53" w:rsidP="00635F53">
            <w:r w:rsidRPr="002D206C">
              <w:t>Table 4.3, Table 6.1 and Figure 1 are located on the previous page of that which they are listed in the List of Tables and List of Figure</w:t>
            </w:r>
          </w:p>
        </w:tc>
        <w:tc>
          <w:tcPr>
            <w:tcW w:w="3117" w:type="dxa"/>
          </w:tcPr>
          <w:p w14:paraId="5FE67FB4" w14:textId="5827CB7B" w:rsidR="00635F53" w:rsidRDefault="00635F53" w:rsidP="00635F53">
            <w:r w:rsidRPr="008136F6">
              <w:rPr>
                <w:rFonts w:eastAsia="Times New Roman"/>
                <w:color w:val="4472C4" w:themeColor="accent1"/>
              </w:rPr>
              <w:t xml:space="preserve">Table 4.3 reference pages changed to 5, Table 6.1 reference page changed to 6 and Figure 1 reference page changed to 7. Revised </w:t>
            </w:r>
            <w:r w:rsidR="00836E90">
              <w:rPr>
                <w:rFonts w:eastAsia="Times New Roman"/>
                <w:color w:val="4472C4" w:themeColor="accent1"/>
              </w:rPr>
              <w:t>document</w:t>
            </w:r>
            <w:r w:rsidRPr="008136F6">
              <w:rPr>
                <w:rFonts w:eastAsia="Times New Roman"/>
                <w:color w:val="4472C4" w:themeColor="accent1"/>
              </w:rPr>
              <w:t xml:space="preserve"> is attached.</w:t>
            </w:r>
          </w:p>
        </w:tc>
      </w:tr>
    </w:tbl>
    <w:p w14:paraId="02F84364" w14:textId="568D3D6A" w:rsidR="00B32308" w:rsidRDefault="00B32308"/>
    <w:p w14:paraId="799F13A0" w14:textId="77777777" w:rsidR="00931064" w:rsidRDefault="00931064" w:rsidP="0093106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Provide an Inuktitut summary of Monitoring Results;</w:t>
      </w:r>
    </w:p>
    <w:p w14:paraId="66C0DF27" w14:textId="24F049DB" w:rsidR="00931064" w:rsidRPr="0038577F" w:rsidRDefault="00EE0F74" w:rsidP="00931064">
      <w:pPr>
        <w:pStyle w:val="ListParagraph"/>
        <w:numPr>
          <w:ilvl w:val="1"/>
          <w:numId w:val="3"/>
        </w:numPr>
        <w:spacing w:line="252" w:lineRule="auto"/>
        <w:rPr>
          <w:rFonts w:eastAsia="Times New Roman"/>
          <w:color w:val="FF0000"/>
        </w:rPr>
      </w:pPr>
      <w:r>
        <w:rPr>
          <w:rFonts w:eastAsia="Times New Roman"/>
          <w:color w:val="4472C4" w:themeColor="accent1"/>
        </w:rPr>
        <w:t xml:space="preserve">Inuktitut summaries of Monitoring Results have been submitted as </w:t>
      </w:r>
      <w:r w:rsidR="00931064" w:rsidRPr="008136F6">
        <w:rPr>
          <w:rFonts w:eastAsia="Times New Roman"/>
          <w:color w:val="4472C4" w:themeColor="accent1"/>
        </w:rPr>
        <w:t>Appendix M-2</w:t>
      </w:r>
      <w:r w:rsidR="00931064">
        <w:rPr>
          <w:rFonts w:eastAsia="Times New Roman"/>
          <w:color w:val="4472C4" w:themeColor="accent1"/>
        </w:rPr>
        <w:t xml:space="preserve"> Inuktitut Summaries of Monitoring Results</w:t>
      </w:r>
    </w:p>
    <w:p w14:paraId="103DC917" w14:textId="77777777" w:rsidR="00931064" w:rsidRDefault="00931064" w:rsidP="0093106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lastRenderedPageBreak/>
        <w:t>Appendix D1 - Hazardous Waste Documentation: Appendix A Photographic Report is not included;</w:t>
      </w:r>
    </w:p>
    <w:p w14:paraId="2D583CBE" w14:textId="3805597C" w:rsidR="00931064" w:rsidRPr="008136F6" w:rsidRDefault="00EE0F74" w:rsidP="00931064">
      <w:pPr>
        <w:pStyle w:val="ListParagraph"/>
        <w:numPr>
          <w:ilvl w:val="1"/>
          <w:numId w:val="3"/>
        </w:numPr>
        <w:spacing w:line="252" w:lineRule="auto"/>
        <w:rPr>
          <w:rFonts w:eastAsia="Times New Roman"/>
          <w:color w:val="4472C4" w:themeColor="accent1"/>
        </w:rPr>
      </w:pPr>
      <w:r>
        <w:rPr>
          <w:rFonts w:eastAsia="Times New Roman"/>
          <w:color w:val="4472C4" w:themeColor="accent1"/>
        </w:rPr>
        <w:t xml:space="preserve">Appendix A Photographic Report was added to Appendix D1- </w:t>
      </w:r>
      <w:proofErr w:type="spellStart"/>
      <w:r>
        <w:rPr>
          <w:rFonts w:eastAsia="Times New Roman"/>
          <w:color w:val="4472C4" w:themeColor="accent1"/>
        </w:rPr>
        <w:t>Hazerdous</w:t>
      </w:r>
      <w:proofErr w:type="spellEnd"/>
      <w:r>
        <w:rPr>
          <w:rFonts w:eastAsia="Times New Roman"/>
          <w:color w:val="4472C4" w:themeColor="accent1"/>
        </w:rPr>
        <w:t xml:space="preserve"> Waste Documentation.</w:t>
      </w:r>
    </w:p>
    <w:p w14:paraId="2D1F0025" w14:textId="77777777" w:rsidR="00931064" w:rsidRDefault="00931064" w:rsidP="0093106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Appendix I1: Both the Water Management Plan and Management Plan Updates are listed under Appendix I1. In the Appendices this is the start of the Water Management Plan. Submit </w:t>
      </w:r>
      <w:proofErr w:type="gramStart"/>
      <w:r>
        <w:rPr>
          <w:rFonts w:eastAsia="Times New Roman"/>
        </w:rPr>
        <w:t>any  information</w:t>
      </w:r>
      <w:proofErr w:type="gramEnd"/>
      <w:r>
        <w:rPr>
          <w:rFonts w:eastAsia="Times New Roman"/>
        </w:rPr>
        <w:t xml:space="preserve"> not included that should be under “Management Plan Updates”;</w:t>
      </w:r>
    </w:p>
    <w:p w14:paraId="19554AFC" w14:textId="77777777" w:rsidR="00931064" w:rsidRPr="00F45CE3" w:rsidRDefault="00931064" w:rsidP="00931064">
      <w:pPr>
        <w:pStyle w:val="ListParagraph"/>
        <w:numPr>
          <w:ilvl w:val="1"/>
          <w:numId w:val="3"/>
        </w:numPr>
        <w:spacing w:line="252" w:lineRule="auto"/>
        <w:rPr>
          <w:rFonts w:eastAsia="Times New Roman"/>
          <w:color w:val="4472C4" w:themeColor="accent1"/>
        </w:rPr>
      </w:pPr>
      <w:r w:rsidRPr="00F45CE3">
        <w:rPr>
          <w:rFonts w:eastAsia="Times New Roman"/>
          <w:color w:val="4472C4" w:themeColor="accent1"/>
        </w:rPr>
        <w:t>“I-1 Management Plan Updates” is a relic from the 2018 Report and should be disregarded; all updated management plans are now individually listed in the table of content as requested in the 2018 annual report comments</w:t>
      </w:r>
      <w:r>
        <w:rPr>
          <w:rFonts w:eastAsia="Times New Roman"/>
          <w:color w:val="4472C4" w:themeColor="accent1"/>
        </w:rPr>
        <w:t>; list of contents has been revised in attached annual report document.</w:t>
      </w:r>
    </w:p>
    <w:p w14:paraId="782A5A38" w14:textId="77777777" w:rsidR="00931064" w:rsidRDefault="00931064" w:rsidP="0093106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Appendix I4 - Ore Storage Management Plan: Inuktitut translation required to be in syllabics; </w:t>
      </w:r>
    </w:p>
    <w:p w14:paraId="0BD40AC9" w14:textId="77777777" w:rsidR="00931064" w:rsidRPr="00F45CE3" w:rsidRDefault="00931064" w:rsidP="00931064">
      <w:pPr>
        <w:pStyle w:val="ListParagraph"/>
        <w:numPr>
          <w:ilvl w:val="1"/>
          <w:numId w:val="3"/>
        </w:numPr>
        <w:spacing w:line="252" w:lineRule="auto"/>
        <w:rPr>
          <w:rFonts w:eastAsia="Times New Roman"/>
          <w:color w:val="4472C4" w:themeColor="accent1"/>
        </w:rPr>
      </w:pPr>
      <w:r w:rsidRPr="00F45CE3">
        <w:rPr>
          <w:rFonts w:eastAsia="Times New Roman"/>
          <w:color w:val="4472C4" w:themeColor="accent1"/>
        </w:rPr>
        <w:t xml:space="preserve">Inuktitut translation font has been corrected and revised </w:t>
      </w:r>
      <w:r>
        <w:rPr>
          <w:rFonts w:eastAsia="Times New Roman"/>
          <w:color w:val="4472C4" w:themeColor="accent1"/>
        </w:rPr>
        <w:t xml:space="preserve">document </w:t>
      </w:r>
      <w:r w:rsidRPr="00F45CE3">
        <w:rPr>
          <w:rFonts w:eastAsia="Times New Roman"/>
          <w:color w:val="4472C4" w:themeColor="accent1"/>
        </w:rPr>
        <w:t>is attached.</w:t>
      </w:r>
    </w:p>
    <w:p w14:paraId="60AE7EFC" w14:textId="77777777" w:rsidR="00931064" w:rsidRDefault="00931064" w:rsidP="0093106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Appendix I-9 - Air Quality Monitoring Plan: Provide Figure 2.1 as image did not properly load onto the PDF;</w:t>
      </w:r>
    </w:p>
    <w:p w14:paraId="214A6BB5" w14:textId="77777777" w:rsidR="00931064" w:rsidRPr="00F45CE3" w:rsidRDefault="00931064" w:rsidP="00931064">
      <w:pPr>
        <w:pStyle w:val="ListParagraph"/>
        <w:numPr>
          <w:ilvl w:val="1"/>
          <w:numId w:val="3"/>
        </w:numPr>
        <w:spacing w:line="252" w:lineRule="auto"/>
        <w:rPr>
          <w:rFonts w:eastAsia="Times New Roman"/>
          <w:color w:val="4472C4" w:themeColor="accent1"/>
        </w:rPr>
      </w:pPr>
      <w:r w:rsidRPr="00F45CE3">
        <w:rPr>
          <w:rFonts w:eastAsia="Times New Roman"/>
          <w:color w:val="4472C4" w:themeColor="accent1"/>
        </w:rPr>
        <w:t xml:space="preserve">Figure 2.1 was corrected, and revised </w:t>
      </w:r>
      <w:r>
        <w:rPr>
          <w:rFonts w:eastAsia="Times New Roman"/>
          <w:color w:val="4472C4" w:themeColor="accent1"/>
        </w:rPr>
        <w:t>document</w:t>
      </w:r>
      <w:r w:rsidRPr="00F45CE3">
        <w:rPr>
          <w:rFonts w:eastAsia="Times New Roman"/>
          <w:color w:val="4472C4" w:themeColor="accent1"/>
        </w:rPr>
        <w:t xml:space="preserve"> is attached.</w:t>
      </w:r>
    </w:p>
    <w:p w14:paraId="3F12B048" w14:textId="77777777" w:rsidR="00931064" w:rsidRDefault="00931064" w:rsidP="0093106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Appendix J-1 – AWAR Usage: Data provided exterior to the August through November tables requires labelling if included in analysis; </w:t>
      </w:r>
    </w:p>
    <w:p w14:paraId="4B019678" w14:textId="77777777" w:rsidR="00931064" w:rsidRPr="00F45CE3" w:rsidRDefault="00931064" w:rsidP="00931064">
      <w:pPr>
        <w:pStyle w:val="ListParagraph"/>
        <w:numPr>
          <w:ilvl w:val="1"/>
          <w:numId w:val="3"/>
        </w:numPr>
        <w:spacing w:line="252" w:lineRule="auto"/>
        <w:rPr>
          <w:rFonts w:eastAsia="Times New Roman"/>
          <w:color w:val="4472C4" w:themeColor="accent1"/>
        </w:rPr>
      </w:pPr>
      <w:r w:rsidRPr="00F45CE3">
        <w:rPr>
          <w:rFonts w:eastAsia="Times New Roman"/>
          <w:color w:val="4472C4" w:themeColor="accent1"/>
        </w:rPr>
        <w:t xml:space="preserve">Data provide exterior to the August through November tables was removed; revised </w:t>
      </w:r>
      <w:r>
        <w:rPr>
          <w:rFonts w:eastAsia="Times New Roman"/>
          <w:color w:val="4472C4" w:themeColor="accent1"/>
        </w:rPr>
        <w:t>document</w:t>
      </w:r>
      <w:r w:rsidRPr="00F45CE3">
        <w:rPr>
          <w:rFonts w:eastAsia="Times New Roman"/>
          <w:color w:val="4472C4" w:themeColor="accent1"/>
        </w:rPr>
        <w:t xml:space="preserve"> is attached.</w:t>
      </w:r>
    </w:p>
    <w:p w14:paraId="16F64B0B" w14:textId="77777777" w:rsidR="00931064" w:rsidRDefault="00931064" w:rsidP="00931064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Submit Ocean Discharge Monitoring Plan: referenced as Appendix I-3 withing Appendix M1 as well as referenced within the Water Quality and Flow Monitoring Plan and Groundwater Management Plan but not provided within the Annual Report; and</w:t>
      </w:r>
    </w:p>
    <w:p w14:paraId="01A9A97C" w14:textId="77777777" w:rsidR="00931064" w:rsidRPr="00F45CE3" w:rsidRDefault="00931064" w:rsidP="00931064">
      <w:pPr>
        <w:pStyle w:val="ListParagraph"/>
        <w:numPr>
          <w:ilvl w:val="1"/>
          <w:numId w:val="3"/>
        </w:numPr>
        <w:spacing w:line="252" w:lineRule="auto"/>
        <w:rPr>
          <w:rFonts w:eastAsia="Times New Roman"/>
          <w:color w:val="4472C4" w:themeColor="accent1"/>
        </w:rPr>
      </w:pPr>
      <w:r>
        <w:rPr>
          <w:rFonts w:eastAsia="Times New Roman"/>
          <w:color w:val="4472C4" w:themeColor="accent1"/>
        </w:rPr>
        <w:t xml:space="preserve">Reference to the Ocean Discharge Monitoring Plan was corrected and revised </w:t>
      </w:r>
      <w:r w:rsidRPr="00F45CE3">
        <w:rPr>
          <w:rFonts w:eastAsia="Times New Roman"/>
          <w:color w:val="4472C4" w:themeColor="accent1"/>
        </w:rPr>
        <w:t>Appendix M-1 is attached</w:t>
      </w:r>
    </w:p>
    <w:p w14:paraId="64D7AE45" w14:textId="77777777" w:rsidR="00931064" w:rsidRPr="00F45CE3" w:rsidRDefault="00931064" w:rsidP="00931064">
      <w:pPr>
        <w:pStyle w:val="ListParagraph"/>
        <w:numPr>
          <w:ilvl w:val="1"/>
          <w:numId w:val="3"/>
        </w:numPr>
        <w:spacing w:line="252" w:lineRule="auto"/>
        <w:rPr>
          <w:rFonts w:eastAsia="Times New Roman"/>
          <w:color w:val="4472C4" w:themeColor="accent1"/>
        </w:rPr>
      </w:pPr>
      <w:r w:rsidRPr="00F45CE3">
        <w:rPr>
          <w:rFonts w:eastAsia="Times New Roman"/>
          <w:color w:val="4472C4" w:themeColor="accent1"/>
        </w:rPr>
        <w:t>Latest approved Ocean Discharge Monitoring Plan is attached a</w:t>
      </w:r>
      <w:r>
        <w:rPr>
          <w:rFonts w:eastAsia="Times New Roman"/>
          <w:color w:val="4472C4" w:themeColor="accent1"/>
        </w:rPr>
        <w:t>nd as</w:t>
      </w:r>
      <w:r w:rsidRPr="00F45CE3">
        <w:rPr>
          <w:rFonts w:eastAsia="Times New Roman"/>
          <w:color w:val="4472C4" w:themeColor="accent1"/>
        </w:rPr>
        <w:t xml:space="preserve"> appendix I-12 </w:t>
      </w:r>
    </w:p>
    <w:p w14:paraId="0379FB01" w14:textId="77777777" w:rsidR="00931064" w:rsidRDefault="00931064"/>
    <w:sectPr w:rsidR="00931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456E9"/>
    <w:multiLevelType w:val="hybridMultilevel"/>
    <w:tmpl w:val="ADCE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8E4B4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472C4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152422"/>
    <w:multiLevelType w:val="hybridMultilevel"/>
    <w:tmpl w:val="A478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6C"/>
    <w:rsid w:val="000450D7"/>
    <w:rsid w:val="000C0975"/>
    <w:rsid w:val="0010550D"/>
    <w:rsid w:val="00194F97"/>
    <w:rsid w:val="001B6364"/>
    <w:rsid w:val="00263500"/>
    <w:rsid w:val="002D206C"/>
    <w:rsid w:val="00332ECC"/>
    <w:rsid w:val="003835CB"/>
    <w:rsid w:val="0038577F"/>
    <w:rsid w:val="003B7455"/>
    <w:rsid w:val="003D3786"/>
    <w:rsid w:val="00592B72"/>
    <w:rsid w:val="005E6029"/>
    <w:rsid w:val="00635F53"/>
    <w:rsid w:val="00722C83"/>
    <w:rsid w:val="008136F6"/>
    <w:rsid w:val="00836E90"/>
    <w:rsid w:val="00931064"/>
    <w:rsid w:val="00A1192D"/>
    <w:rsid w:val="00B32308"/>
    <w:rsid w:val="00B534E8"/>
    <w:rsid w:val="00BE5479"/>
    <w:rsid w:val="00C44CA4"/>
    <w:rsid w:val="00DD3F96"/>
    <w:rsid w:val="00EE0F74"/>
    <w:rsid w:val="00F44E28"/>
    <w:rsid w:val="00F45C21"/>
    <w:rsid w:val="00F45CE3"/>
    <w:rsid w:val="00FB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9E095"/>
  <w15:chartTrackingRefBased/>
  <w15:docId w15:val="{45667DAC-C1E8-4D8B-89E3-FD7465D2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0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Koide</dc:creator>
  <cp:keywords/>
  <dc:description/>
  <cp:lastModifiedBy>Richard Dwyer.</cp:lastModifiedBy>
  <cp:revision>2</cp:revision>
  <dcterms:created xsi:type="dcterms:W3CDTF">2020-04-30T16:07:00Z</dcterms:created>
  <dcterms:modified xsi:type="dcterms:W3CDTF">2020-04-30T16:07:00Z</dcterms:modified>
</cp:coreProperties>
</file>