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34" w:rsidRPr="00BE2064" w:rsidRDefault="00BE7C34" w:rsidP="00BE7C34">
      <w:pPr>
        <w:ind w:left="5040"/>
        <w:jc w:val="center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6F0EBE75" wp14:editId="23AD8EDC">
            <wp:simplePos x="0" y="0"/>
            <wp:positionH relativeFrom="page">
              <wp:posOffset>900430</wp:posOffset>
            </wp:positionH>
            <wp:positionV relativeFrom="page">
              <wp:posOffset>470535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33D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2BE-ANG1318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/ Renewal Application</w:t>
      </w:r>
      <w:r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begin"/>
      </w:r>
      <w:r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NWB2MEL01--</w:t>
      </w:r>
      <w:bookmarkEnd w:id="0"/>
      <w:r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end"/>
      </w:r>
    </w:p>
    <w:p w:rsidR="00176A1A" w:rsidRPr="00BE2064" w:rsidRDefault="00F3100E" w:rsidP="00BE7C34">
      <w:pPr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March 23</w:t>
      </w:r>
      <w:r w:rsidR="00BE2064" w:rsidRPr="00BE2064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2018</w:t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B0610C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4E4ADD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4E4ADD" w:rsidRPr="00BE2064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176A1A" w:rsidRPr="00BE2064" w:rsidRDefault="00176A1A" w:rsidP="00176A1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Mr. Andrew Berry</w:t>
      </w: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Chief Operati</w:t>
      </w:r>
      <w:r w:rsidR="00166150">
        <w:rPr>
          <w:rFonts w:ascii="Times New Roman" w:eastAsia="Times New Roman" w:hAnsi="Times New Roman" w:cs="Times New Roman"/>
          <w:sz w:val="24"/>
          <w:szCs w:val="20"/>
          <w:lang w:val="en-US"/>
        </w:rPr>
        <w:t>o</w:t>
      </w:r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n Officer</w:t>
      </w: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proofErr w:type="spellEnd"/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Energy Corporation</w:t>
      </w: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1020 – 800 Pender St W</w:t>
      </w: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Vancouver BC, V6C 2V6</w:t>
      </w:r>
    </w:p>
    <w:p w:rsidR="008D033D" w:rsidRPr="008D033D" w:rsidRDefault="008D033D" w:rsidP="008D0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033D">
        <w:rPr>
          <w:rFonts w:ascii="Times New Roman" w:eastAsia="Times New Roman" w:hAnsi="Times New Roman" w:cs="Times New Roman"/>
          <w:sz w:val="24"/>
          <w:szCs w:val="24"/>
          <w:lang w:val="en-US"/>
        </w:rPr>
        <w:t>E-</w:t>
      </w:r>
      <w:proofErr w:type="gramStart"/>
      <w:r w:rsidRPr="008D033D">
        <w:rPr>
          <w:rFonts w:ascii="Times New Roman" w:eastAsia="Times New Roman" w:hAnsi="Times New Roman" w:cs="Times New Roman"/>
          <w:sz w:val="24"/>
          <w:szCs w:val="24"/>
          <w:lang w:val="en-US"/>
        </w:rPr>
        <w:t>mail :</w:t>
      </w:r>
      <w:proofErr w:type="gramEnd"/>
      <w:r w:rsidRPr="008D03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8D033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andrewb@kivalliqenergy.com</w:t>
        </w:r>
      </w:hyperlink>
    </w:p>
    <w:p w:rsidR="004E4ADD" w:rsidRPr="00BE7C34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fr-FR"/>
        </w:rPr>
      </w:pPr>
    </w:p>
    <w:p w:rsidR="004E4ADD" w:rsidRPr="00BE7C34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fr-FR"/>
        </w:rPr>
      </w:pPr>
    </w:p>
    <w:p w:rsidR="00176A1A" w:rsidRP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proofErr w:type="spellStart"/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Kivalliq</w:t>
      </w:r>
      <w:proofErr w:type="spellEnd"/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Energy Corp</w:t>
      </w:r>
      <w:r w:rsidR="00BE2064"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– </w:t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org "ORGANIZATION ?" </w:instrText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1" w:name="org"/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WMC International Limited</w:t>
      </w:r>
      <w:bookmarkEnd w:id="1"/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proofErr w:type="spellStart"/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Angilak</w:t>
      </w:r>
      <w:proofErr w:type="spellEnd"/>
      <w:r w:rsidR="00BE2064"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Property</w:t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BE2064"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Renewal</w:t>
      </w:r>
      <w:r w:rsidRPr="00BE2064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Type “B”</w:t>
      </w:r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, </w:t>
      </w:r>
      <w:proofErr w:type="spellStart"/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Kivalliq</w:t>
      </w:r>
      <w:proofErr w:type="spellEnd"/>
      <w:r w:rsidR="008D033D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Region</w:t>
      </w:r>
    </w:p>
    <w:p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176A1A" w:rsidRDefault="00BE7C34" w:rsidP="00176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Dear</w:t>
      </w:r>
      <w:r w:rsidR="00BE2064"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Mr.</w:t>
      </w:r>
      <w:r w:rsidR="008D033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Berry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76A1A" w:rsidRP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gramStart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(NWB)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provides notice that</w:t>
      </w:r>
      <w:r w:rsidR="008D033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March 1, 2018</w:t>
      </w:r>
      <w:r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 a </w:t>
      </w:r>
      <w:r w:rsidR="00BE2064"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ques "INSERT (a new application), (an application for a permit renewal) or (an application for a permit amendment)"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ques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an application for a licence renewal</w:t>
      </w:r>
      <w:bookmarkEnd w:id="2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for a Type “B” water license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daterec "DATE RECEIVED ?"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3" w:name="daterec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January 5, 2001</w:t>
      </w:r>
      <w:bookmarkEnd w:id="3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for water use and</w:t>
      </w:r>
      <w:r w:rsidR="00432B7D">
        <w:rPr>
          <w:rFonts w:ascii="Times New Roman" w:eastAsia="Times New Roman" w:hAnsi="Times New Roman" w:cs="Times New Roman"/>
          <w:sz w:val="24"/>
          <w:szCs w:val="20"/>
          <w:lang w:val="en-US"/>
        </w:rPr>
        <w:t>/or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waste disposal associated with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typo "TYPE OF PROJECT ?" </w:instrTex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4" w:name="typo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exploratory drilling</w:t>
      </w:r>
      <w:bookmarkEnd w:id="4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activities in </w:t>
      </w:r>
      <w:r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</w:t>
      </w:r>
      <w:proofErr w:type="spellStart"/>
      <w:r w:rsid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proofErr w:type="spellEnd"/>
      <w:r w:rsidR="00BE7C3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</w:t>
      </w:r>
      <w:r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>egion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Nunavut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was </w:t>
      </w:r>
      <w:r w:rsidR="00BA4910" w:rsidRPr="00BE2064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filed by </w:t>
      </w:r>
      <w:proofErr w:type="spellStart"/>
      <w:r w:rsidR="008D033D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  <w:proofErr w:type="spellEnd"/>
      <w:r w:rsidR="008D033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Energy Corporation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By way of thi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s correspondence, the Board invites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parties to provide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the NWB with their</w:t>
      </w:r>
      <w:r w:rsidR="00DF5C8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comments with respect to the application as outlined below.</w:t>
      </w:r>
      <w:proofErr w:type="gramEnd"/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consists of the following documents:</w:t>
      </w:r>
    </w:p>
    <w:p w:rsidR="00176A1A" w:rsidRPr="00176A1A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Appendix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Executive Summary English &amp; Inuktitut</w:t>
      </w:r>
    </w:p>
    <w:p w:rsidR="00176A1A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</w:t>
      </w:r>
      <w:r w:rsidR="0016615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dix B 2018 </w:t>
      </w:r>
      <w:proofErr w:type="spellStart"/>
      <w:r w:rsidR="0016615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Angilak</w:t>
      </w:r>
      <w:proofErr w:type="spellEnd"/>
      <w:r w:rsidR="00166150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Property Work</w:t>
      </w: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Plan 2018</w:t>
      </w:r>
      <w:bookmarkStart w:id="5" w:name="_GoBack"/>
      <w:bookmarkEnd w:id="5"/>
    </w:p>
    <w:p w:rsidR="00BE2064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Appendix C 2013 NWB Renewal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Licence</w:t>
      </w:r>
      <w:proofErr w:type="spellEnd"/>
    </w:p>
    <w:p w:rsidR="004B3117" w:rsidRDefault="008D033D" w:rsidP="008D03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Appendix C 2014 NWB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Amendment </w:t>
      </w:r>
    </w:p>
    <w:p w:rsidR="00BE2064" w:rsidRDefault="008D033D" w:rsidP="008D03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Appendix C 2016 NWB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Amendment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D Authorization Letter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E Certificate of Incorporation Name Change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F Financial Statements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G Spill Contingency Plan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H Fuel Management Plan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I Environmental &amp; Wildlife Management Plan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J Abandonment &amp; Restoration Plan</w:t>
      </w:r>
    </w:p>
    <w:p w:rsidR="004B3117" w:rsidRDefault="008D033D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K Emergency Response Plan</w:t>
      </w:r>
    </w:p>
    <w:p w:rsidR="008B107A" w:rsidRPr="00894092" w:rsidRDefault="00894092" w:rsidP="0089409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L Waste Management Plan</w:t>
      </w:r>
    </w:p>
    <w:p w:rsidR="008B107A" w:rsidRDefault="00894092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M Community Consultation Plan</w:t>
      </w:r>
    </w:p>
    <w:p w:rsidR="008B107A" w:rsidRDefault="00894092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N NPC Documents</w:t>
      </w:r>
    </w:p>
    <w:p w:rsidR="008B107A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O NIRB Amend Application Exemption</w:t>
      </w:r>
    </w:p>
    <w:p w:rsidR="008B107A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O NIRB Screening Decision Report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Appendix P Land Use Permit Inspection Form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lastRenderedPageBreak/>
        <w:t xml:space="preserve">Application for Water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Renewal Cover Letter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Application for Water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Renewal 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2018 Abandonment &amp; Restoration Plan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2018 Spill Contingency Plan</w:t>
      </w:r>
    </w:p>
    <w:p w:rsidR="00894092" w:rsidRDefault="00894092" w:rsidP="008B10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Renewal Application Clarification</w:t>
      </w:r>
    </w:p>
    <w:p w:rsidR="008B107A" w:rsidRPr="00176A1A" w:rsidRDefault="008B107A" w:rsidP="008B10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:rsidR="000F1BDF" w:rsidRDefault="000F1BDF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176A1A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application </w:t>
      </w:r>
      <w:proofErr w:type="gramStart"/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can be obtained</w:t>
      </w:r>
      <w:proofErr w:type="gramEnd"/>
      <w:r w:rsidRPr="00176A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from our ftp site </w:t>
      </w:r>
      <w:r w:rsidR="00DF527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 the following link:</w:t>
      </w:r>
    </w:p>
    <w:p w:rsidR="008B107A" w:rsidRDefault="008B107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8B107A" w:rsidRDefault="00166150" w:rsidP="00176A1A">
      <w:pPr>
        <w:spacing w:after="0" w:line="240" w:lineRule="auto"/>
      </w:pPr>
      <w:hyperlink r:id="rId10" w:history="1">
        <w:r w:rsidR="00894092" w:rsidRPr="00E9368C">
          <w:rPr>
            <w:rStyle w:val="Hyperlink"/>
          </w:rPr>
          <w:t>ftp://ftp.nwb-oen.ca/registry/2%20MINING%20MILLING/2B/2BE%20-%20Exploration/2BE-ANG1318%20Kivalliq%20Energy%20Corp/</w:t>
        </w:r>
      </w:hyperlink>
    </w:p>
    <w:p w:rsidR="00432B7D" w:rsidRDefault="00432B7D" w:rsidP="00462702">
      <w:pPr>
        <w:spacing w:after="0" w:line="240" w:lineRule="auto"/>
        <w:jc w:val="both"/>
      </w:pPr>
    </w:p>
    <w:p w:rsidR="00BE5570" w:rsidRDefault="00462702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As noted in the NWB’s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earlier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correspondence 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cknowledging receipt of this application, under the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8673F7" w:rsidRP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and s. 76 (1) of </w:t>
      </w:r>
      <w:r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), the proponent of a project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governed by 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the N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</w:t>
      </w:r>
      <w:proofErr w:type="spellStart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that requires a water </w:t>
      </w:r>
      <w:proofErr w:type="spellStart"/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432B7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</w:t>
      </w:r>
      <w:r w:rsidR="00287A4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required to submit a project proposal document (which may include the water </w:t>
      </w:r>
      <w:proofErr w:type="spellStart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application) directly to the Nunavut Planning Commission (NPC or Commission)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proofErr w:type="gramEnd"/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The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NPC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then reviews the project proposal and makes a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determination regarding the applicable land use planning requirements and/or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provides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direction regarding whether the project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proposal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subject to screening by the Nunavut Impact Review Board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(NIRB)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>U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nder A</w:t>
      </w:r>
      <w:r w:rsidR="008673F7">
        <w:rPr>
          <w:rFonts w:ascii="Times New Roman" w:eastAsia="Times New Roman" w:hAnsi="Times New Roman" w:cs="Times New Roman"/>
          <w:sz w:val="24"/>
          <w:szCs w:val="20"/>
          <w:lang w:val="en-US"/>
        </w:rPr>
        <w:t>rticles 11, 12 and 13 of the N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unavut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321CA1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C1132A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="00232FB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(NWNSRTA)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proposal 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has c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>oncluded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applicable land use planning and assessment process required by the NPC and the </w:t>
      </w:r>
      <w:r w:rsidR="006F0C1F">
        <w:rPr>
          <w:rFonts w:ascii="Times New Roman" w:eastAsia="Times New Roman" w:hAnsi="Times New Roman" w:cs="Times New Roman"/>
          <w:sz w:val="24"/>
          <w:szCs w:val="20"/>
          <w:lang w:val="en-US"/>
        </w:rPr>
        <w:t>NIRB</w:t>
      </w:r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NWB cannot issue a water </w:t>
      </w:r>
      <w:proofErr w:type="spellStart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C1132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BE55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</w:p>
    <w:p w:rsidR="00BE5570" w:rsidRDefault="00BE5570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0F1BDF" w:rsidRDefault="00BE5570" w:rsidP="00BE5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this basis, the NWB, while previously acknowledging the receipt of the application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waited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Commission’s determination and recommendations before proceeding to the</w:t>
      </w:r>
      <w:r w:rsidR="00BA491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next steps in the NWB’s processing of the application. P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lease b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e advised that </w:t>
      </w:r>
      <w:r w:rsidR="00432B7D" w:rsidRPr="008B107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on </w:t>
      </w:r>
      <w:r w:rsidR="0089409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March 13, 2018</w:t>
      </w:r>
      <w:r w:rsidR="008B107A" w:rsidRPr="008B107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32B7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NWB received</w:t>
      </w:r>
      <w:r w:rsidR="00287A4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required determinations and recommen</w:t>
      </w:r>
      <w:r w:rsidR="008B107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dations from the Commission.</w:t>
      </w:r>
    </w:p>
    <w:p w:rsidR="000F1BDF" w:rsidRDefault="000F1BDF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 that the application has concluded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pre-licens</w:t>
      </w:r>
      <w:r w:rsidR="008673F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 steps required under the N</w:t>
      </w:r>
      <w:r w:rsidR="00321C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unavut 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321C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greement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NuPPAA</w:t>
      </w:r>
      <w:proofErr w:type="spellEnd"/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 the NWNSRTA, the NWB is now proceeding to the next steps in processing the application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including providing the attached Notice of Application which will be published in due course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 addition, t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ensure this application is dealt with in a timely fashion, the NWB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has forwarded 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notice of all documentation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received by the NWB in respect of the application 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 regulators and Council of the Municipality(</w:t>
      </w:r>
      <w:proofErr w:type="spellStart"/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 most affected by the project.  The NWB is also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inviting interested parties to make representation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about the application</w:t>
      </w:r>
      <w:r w:rsidR="00232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including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information requests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identifying issues of water user compensation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and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providing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technical review comments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directly to the NWB 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within </w:t>
      </w:r>
      <w:proofErr w:type="gramStart"/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thirty</w:t>
      </w:r>
      <w:r w:rsidR="005169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(30) days</w:t>
      </w:r>
      <w:proofErr w:type="gramEnd"/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from the date of this letter</w:t>
      </w:r>
      <w:r w:rsidR="000671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;</w:t>
      </w:r>
      <w:r w:rsidR="008940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on or before April</w:t>
      </w:r>
      <w:r w:rsidR="008B10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="00BE7C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23, </w:t>
      </w:r>
      <w:r w:rsidR="008B10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2018</w:t>
      </w:r>
      <w:r w:rsidR="004E4A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0F1BDF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After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he NWB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receives and reviews the comments received, the Board</w:t>
      </w:r>
      <w:r w:rsidR="004E4AD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may provide additional procedural instructions</w:t>
      </w:r>
      <w:r w:rsidR="0023644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regarding </w:t>
      </w:r>
      <w:r w:rsidR="00DF5C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next steps in the Board’s processing of the application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Please note that throughout the Board’s consideration of the application, the NWB retains the right to request additional information and studies, as set out under ss. 48(1)-(3) of the 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NWNSRTA.  If additional information will be requested, the NWB’s technical staff will contact the applicant to discuss the Board’s request</w:t>
      </w:r>
      <w:r w:rsidR="00AA7D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 detail</w:t>
      </w:r>
      <w:r w:rsidR="000671C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A4910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If the applicant or parties have any questions regarding this matter, please contact </w:t>
      </w:r>
      <w:r w:rsidR="0089409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Der</w:t>
      </w:r>
      <w:r w:rsidR="008B107A" w:rsidRPr="008B107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e</w:t>
      </w:r>
      <w:r w:rsidR="0089409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k Donald</w:t>
      </w:r>
      <w:r w:rsidRPr="008B107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the Technical Advisor for the file</w:t>
      </w:r>
      <w:r w:rsidR="00BE7C3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at </w:t>
      </w:r>
      <w:hyperlink r:id="rId11" w:history="1">
        <w:r w:rsidR="00894092" w:rsidRPr="00E9368C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derek.donald@nwb-oen.ca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BE7C3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176A1A" w:rsidRPr="00176A1A" w:rsidRDefault="00176A1A" w:rsidP="00176A1A">
      <w:pPr>
        <w:tabs>
          <w:tab w:val="left" w:pos="-1200"/>
          <w:tab w:val="left" w:pos="-72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8B107A" w:rsidRPr="00176A1A" w:rsidRDefault="008B107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176A1A" w:rsidRPr="00176A1A" w:rsidRDefault="008B107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Administratror</w:t>
      </w:r>
      <w:proofErr w:type="spellEnd"/>
    </w:p>
    <w:p w:rsidR="00176A1A" w:rsidRPr="00176A1A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A7DA1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>Enclosure: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Notice of Application</w:t>
      </w:r>
    </w:p>
    <w:p w:rsidR="00176A1A" w:rsidRPr="00176A1A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 </w:t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A7DA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Pr="00176A1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Distribution List – </w:t>
      </w:r>
      <w:r w:rsidR="00894092">
        <w:rPr>
          <w:rFonts w:ascii="Times New Roman" w:eastAsia="Times New Roman" w:hAnsi="Times New Roman" w:cs="Times New Roman"/>
          <w:sz w:val="24"/>
          <w:szCs w:val="20"/>
          <w:lang w:val="en-US"/>
        </w:rPr>
        <w:t>Kivalliq</w:t>
      </w:r>
    </w:p>
    <w:p w:rsidR="00761651" w:rsidRPr="00761651" w:rsidRDefault="00761651" w:rsidP="00761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7A4C" w:rsidRPr="00B17177" w:rsidRDefault="00287A4C" w:rsidP="00B17177"/>
    <w:sectPr w:rsidR="00287A4C" w:rsidRPr="00B17177" w:rsidSect="00BE5570">
      <w:head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10" w:rsidRDefault="00BA4910" w:rsidP="00B17177">
      <w:pPr>
        <w:spacing w:after="0" w:line="240" w:lineRule="auto"/>
      </w:pPr>
      <w:r>
        <w:separator/>
      </w:r>
    </w:p>
  </w:endnote>
  <w:end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FF592" wp14:editId="070CA4CE">
          <wp:simplePos x="0" y="0"/>
          <wp:positionH relativeFrom="page">
            <wp:posOffset>895350</wp:posOffset>
          </wp:positionH>
          <wp:positionV relativeFrom="bottomMargin">
            <wp:posOffset>165735</wp:posOffset>
          </wp:positionV>
          <wp:extent cx="5943600" cy="50292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10" w:rsidRDefault="00BA4910" w:rsidP="00B17177">
      <w:pPr>
        <w:spacing w:after="0" w:line="240" w:lineRule="auto"/>
      </w:pPr>
      <w:r>
        <w:separator/>
      </w:r>
    </w:p>
  </w:footnote>
  <w:foot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Header"/>
    </w:pPr>
    <w:r>
      <w:t>Page 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0D7"/>
    <w:multiLevelType w:val="hybridMultilevel"/>
    <w:tmpl w:val="81528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671CA"/>
    <w:rsid w:val="000A5861"/>
    <w:rsid w:val="000B4600"/>
    <w:rsid w:val="000F1BDF"/>
    <w:rsid w:val="00166150"/>
    <w:rsid w:val="001735C4"/>
    <w:rsid w:val="00176A1A"/>
    <w:rsid w:val="00232FBC"/>
    <w:rsid w:val="00236444"/>
    <w:rsid w:val="00287A4C"/>
    <w:rsid w:val="002B3365"/>
    <w:rsid w:val="002E06EB"/>
    <w:rsid w:val="00321CA1"/>
    <w:rsid w:val="003220A9"/>
    <w:rsid w:val="003B2F34"/>
    <w:rsid w:val="003C3B7E"/>
    <w:rsid w:val="00432B7D"/>
    <w:rsid w:val="00462702"/>
    <w:rsid w:val="004B3117"/>
    <w:rsid w:val="004E4ADD"/>
    <w:rsid w:val="005169E0"/>
    <w:rsid w:val="005B6C7B"/>
    <w:rsid w:val="00621923"/>
    <w:rsid w:val="006B4CCE"/>
    <w:rsid w:val="006F0C1F"/>
    <w:rsid w:val="00711D55"/>
    <w:rsid w:val="007335F9"/>
    <w:rsid w:val="00761651"/>
    <w:rsid w:val="00832B85"/>
    <w:rsid w:val="008673F7"/>
    <w:rsid w:val="00894092"/>
    <w:rsid w:val="008B107A"/>
    <w:rsid w:val="008B1387"/>
    <w:rsid w:val="008D033D"/>
    <w:rsid w:val="009E08CE"/>
    <w:rsid w:val="00A510CB"/>
    <w:rsid w:val="00A90D94"/>
    <w:rsid w:val="00AA7DA1"/>
    <w:rsid w:val="00B0610C"/>
    <w:rsid w:val="00B13950"/>
    <w:rsid w:val="00B17177"/>
    <w:rsid w:val="00BA4910"/>
    <w:rsid w:val="00BE2064"/>
    <w:rsid w:val="00BE5570"/>
    <w:rsid w:val="00BE7C34"/>
    <w:rsid w:val="00CC119B"/>
    <w:rsid w:val="00CC2E33"/>
    <w:rsid w:val="00CD6719"/>
    <w:rsid w:val="00D70C03"/>
    <w:rsid w:val="00DB16AF"/>
    <w:rsid w:val="00DF5270"/>
    <w:rsid w:val="00DF5C8D"/>
    <w:rsid w:val="00F305DC"/>
    <w:rsid w:val="00F3100E"/>
    <w:rsid w:val="00F33D5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35A9"/>
  <w15:docId w15:val="{ABE46F7C-2477-4642-B789-14EEE82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rsid w:val="00DF5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rek.donald@nwb-oen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tp://ftp.nwb-oen.ca/registry/2%20MINING%20MILLING/2B/2BE%20-%20Exploration/2BE-ANG1318%20Kivalliq%20Energy%20Cor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b@kivalliqenergy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4766-FC29-43A0-BBD6-3D21FA5C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Riel Fuller</dc:creator>
  <cp:lastModifiedBy>Ida Porter</cp:lastModifiedBy>
  <cp:revision>12</cp:revision>
  <cp:lastPrinted>2015-12-04T16:06:00Z</cp:lastPrinted>
  <dcterms:created xsi:type="dcterms:W3CDTF">2015-12-11T21:40:00Z</dcterms:created>
  <dcterms:modified xsi:type="dcterms:W3CDTF">2018-03-23T16:19:00Z</dcterms:modified>
</cp:coreProperties>
</file>