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87" w:type="dxa"/>
        <w:tblInd w:w="2268" w:type="dxa"/>
        <w:tblLook w:val="01E0"/>
      </w:tblPr>
      <w:tblGrid>
        <w:gridCol w:w="2823"/>
        <w:gridCol w:w="4464"/>
      </w:tblGrid>
      <w:tr w:rsidR="001B0396" w:rsidRPr="00EB3389" w:rsidTr="005F0F77">
        <w:tc>
          <w:tcPr>
            <w:tcW w:w="2823" w:type="dxa"/>
            <w:vAlign w:val="center"/>
          </w:tcPr>
          <w:p w:rsidR="001B0396" w:rsidRPr="00EB3389" w:rsidRDefault="001B0396" w:rsidP="005F0F77">
            <w:pPr>
              <w:spacing w:before="60"/>
              <w:rPr>
                <w:smallCaps/>
                <w:color w:val="3C78DC"/>
                <w:sz w:val="20"/>
              </w:rPr>
            </w:pPr>
            <w:bookmarkStart w:id="0" w:name="_Toc131401988"/>
            <w:r>
              <w:rPr>
                <w:smallCaps/>
                <w:noProof/>
                <w:color w:val="3C78DC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-1550670</wp:posOffset>
                  </wp:positionH>
                  <wp:positionV relativeFrom="paragraph">
                    <wp:posOffset>-275590</wp:posOffset>
                  </wp:positionV>
                  <wp:extent cx="1390650" cy="1390650"/>
                  <wp:effectExtent l="19050" t="0" r="0" b="0"/>
                  <wp:wrapNone/>
                  <wp:docPr id="7" name="Picture 7" descr="NWB Logo Inuktitut -  Dk LT blue text P286C P2727C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WB Logo Inuktitut -  Dk LT blue text P286C P2727C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mallCaps/>
                <w:color w:val="3C78DC"/>
                <w:sz w:val="19"/>
              </w:rPr>
              <w:t>P.O</w:t>
            </w:r>
            <w:r w:rsidRPr="00EB3389">
              <w:rPr>
                <w:smallCaps/>
                <w:color w:val="3C78DC"/>
                <w:sz w:val="19"/>
              </w:rPr>
              <w:t>. Box 119</w:t>
            </w:r>
          </w:p>
        </w:tc>
        <w:tc>
          <w:tcPr>
            <w:tcW w:w="4464" w:type="dxa"/>
          </w:tcPr>
          <w:p w:rsidR="001B0396" w:rsidRPr="00EB3389" w:rsidRDefault="001B0396" w:rsidP="005F0F77">
            <w:pPr>
              <w:spacing w:before="60"/>
              <w:rPr>
                <w:rFonts w:ascii="ProSyl" w:hAnsi="ProSyl"/>
                <w:smallCaps/>
                <w:color w:val="3C78DC"/>
                <w:sz w:val="20"/>
              </w:rPr>
            </w:pPr>
            <w:r w:rsidRPr="00EB3389">
              <w:rPr>
                <w:rFonts w:ascii="ProSyl" w:hAnsi="ProSyl"/>
                <w:color w:val="3C78DC"/>
                <w:sz w:val="20"/>
              </w:rPr>
              <w:t>kNK5 wmoEp5 vtmp5</w:t>
            </w:r>
          </w:p>
        </w:tc>
      </w:tr>
      <w:tr w:rsidR="001B0396" w:rsidRPr="00EB3389" w:rsidTr="005F0F77">
        <w:tc>
          <w:tcPr>
            <w:tcW w:w="2823" w:type="dxa"/>
          </w:tcPr>
          <w:p w:rsidR="001B0396" w:rsidRPr="00EB3389" w:rsidRDefault="001B0396" w:rsidP="005F0F77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Gjoa Haven, NU    X0B 1J0</w:t>
            </w:r>
          </w:p>
        </w:tc>
        <w:tc>
          <w:tcPr>
            <w:tcW w:w="4464" w:type="dxa"/>
          </w:tcPr>
          <w:p w:rsidR="001B0396" w:rsidRPr="00EB3389" w:rsidRDefault="001B0396" w:rsidP="005F0F77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WATER BOARD</w:t>
            </w:r>
          </w:p>
        </w:tc>
      </w:tr>
      <w:tr w:rsidR="001B0396" w:rsidRPr="00EB3389" w:rsidTr="005F0F77">
        <w:tc>
          <w:tcPr>
            <w:tcW w:w="2823" w:type="dxa"/>
          </w:tcPr>
          <w:p w:rsidR="001B0396" w:rsidRPr="00EB3389" w:rsidRDefault="001B0396" w:rsidP="005F0F77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Tel: (867) 360-6338</w:t>
            </w:r>
          </w:p>
        </w:tc>
        <w:tc>
          <w:tcPr>
            <w:tcW w:w="4464" w:type="dxa"/>
          </w:tcPr>
          <w:p w:rsidR="001B0396" w:rsidRPr="00EB3389" w:rsidRDefault="001B0396" w:rsidP="005F0F77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IMALIRIYIN KATIMAYIT</w:t>
            </w:r>
          </w:p>
        </w:tc>
      </w:tr>
      <w:tr w:rsidR="001B0396" w:rsidRPr="001B0396" w:rsidTr="005F0F77">
        <w:tc>
          <w:tcPr>
            <w:tcW w:w="2823" w:type="dxa"/>
          </w:tcPr>
          <w:p w:rsidR="001B0396" w:rsidRPr="00EB3389" w:rsidRDefault="001B0396" w:rsidP="005F0F77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Fax: (867) 360-6369</w:t>
            </w:r>
          </w:p>
        </w:tc>
        <w:tc>
          <w:tcPr>
            <w:tcW w:w="4464" w:type="dxa"/>
          </w:tcPr>
          <w:p w:rsidR="001B0396" w:rsidRPr="00EB3389" w:rsidRDefault="001B0396" w:rsidP="005F0F77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  <w:lang w:val="fr-FR"/>
              </w:rPr>
            </w:pPr>
            <w:r w:rsidRPr="00EB3389">
              <w:rPr>
                <w:smallCaps/>
                <w:color w:val="3C78DC"/>
                <w:sz w:val="19"/>
                <w:lang w:val="fr-CA"/>
              </w:rPr>
              <w:t>OFFICE DES EAUX DU NUNAVUT</w:t>
            </w:r>
          </w:p>
        </w:tc>
      </w:tr>
    </w:tbl>
    <w:p w:rsidR="001B0396" w:rsidRPr="00E4098A" w:rsidRDefault="001B0396" w:rsidP="001B0396">
      <w:pPr>
        <w:pBdr>
          <w:top w:val="thickThinSmallGap" w:sz="24" w:space="0" w:color="3C78DC"/>
        </w:pBdr>
        <w:spacing w:before="120"/>
        <w:ind w:left="2246" w:right="-25"/>
        <w:rPr>
          <w:smallCaps/>
          <w:color w:val="0003F9"/>
          <w:lang w:val="fr-CA"/>
        </w:rPr>
      </w:pPr>
    </w:p>
    <w:p w:rsidR="00B50564" w:rsidRPr="00340CE5" w:rsidRDefault="00B50564" w:rsidP="00B50564">
      <w:pPr>
        <w:jc w:val="right"/>
        <w:rPr>
          <w:b/>
        </w:rPr>
      </w:pPr>
      <w:r w:rsidRPr="00340CE5">
        <w:rPr>
          <w:b/>
        </w:rPr>
        <w:t>File:  2BE-</w:t>
      </w:r>
      <w:r w:rsidR="001B0396">
        <w:rPr>
          <w:b/>
        </w:rPr>
        <w:t>BUG0712</w:t>
      </w:r>
    </w:p>
    <w:p w:rsidR="00B50564" w:rsidRPr="00B704CB" w:rsidRDefault="00532685" w:rsidP="00B50564">
      <w:r>
        <w:t xml:space="preserve">July </w:t>
      </w:r>
      <w:r w:rsidR="0063231C">
        <w:t>19</w:t>
      </w:r>
      <w:r w:rsidR="00B50564" w:rsidRPr="007B71CF">
        <w:t>, 2011</w:t>
      </w:r>
    </w:p>
    <w:p w:rsidR="00B50564" w:rsidRDefault="00B50564" w:rsidP="00B50564">
      <w:pPr>
        <w:pStyle w:val="Default"/>
      </w:pPr>
    </w:p>
    <w:p w:rsidR="00B50564" w:rsidRDefault="00B50564" w:rsidP="00B505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Mr. Paul Pitman </w:t>
      </w:r>
    </w:p>
    <w:p w:rsidR="00B50564" w:rsidRDefault="00B50564" w:rsidP="00B505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UR-Energy Inc. </w:t>
      </w:r>
    </w:p>
    <w:p w:rsidR="00B50564" w:rsidRDefault="00B50564" w:rsidP="00B505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341 Main Street, Suite 206 </w:t>
      </w:r>
    </w:p>
    <w:p w:rsidR="00B50564" w:rsidRDefault="00B50564" w:rsidP="00B505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Brampton, ON L6X 3C7 </w:t>
      </w:r>
    </w:p>
    <w:p w:rsidR="00B50564" w:rsidRDefault="00B50564" w:rsidP="00B50564">
      <w:pPr>
        <w:pStyle w:val="Default"/>
        <w:rPr>
          <w:sz w:val="23"/>
          <w:szCs w:val="23"/>
        </w:rPr>
      </w:pPr>
    </w:p>
    <w:p w:rsidR="00B50564" w:rsidRDefault="00B50564" w:rsidP="00B50564">
      <w:pPr>
        <w:tabs>
          <w:tab w:val="left" w:pos="540"/>
        </w:tabs>
        <w:rPr>
          <w:sz w:val="23"/>
          <w:szCs w:val="23"/>
        </w:rPr>
      </w:pPr>
      <w:r>
        <w:rPr>
          <w:sz w:val="23"/>
          <w:szCs w:val="23"/>
        </w:rPr>
        <w:t xml:space="preserve">Email: </w:t>
      </w:r>
      <w:hyperlink r:id="rId8" w:history="1">
        <w:r w:rsidRPr="00CA57F4">
          <w:rPr>
            <w:rStyle w:val="Hyperlink"/>
            <w:sz w:val="23"/>
            <w:szCs w:val="23"/>
          </w:rPr>
          <w:t>pwpconsulting@bellnet.ca</w:t>
        </w:r>
      </w:hyperlink>
      <w:r>
        <w:rPr>
          <w:sz w:val="23"/>
          <w:szCs w:val="23"/>
        </w:rPr>
        <w:t xml:space="preserve"> </w:t>
      </w:r>
    </w:p>
    <w:p w:rsidR="00B50564" w:rsidRPr="00B216A3" w:rsidRDefault="00B50564" w:rsidP="00B50564">
      <w:pPr>
        <w:tabs>
          <w:tab w:val="left" w:pos="1440"/>
        </w:tabs>
      </w:pPr>
    </w:p>
    <w:p w:rsidR="00B50564" w:rsidRPr="00C54750" w:rsidRDefault="00B50564" w:rsidP="00B50564">
      <w:pPr>
        <w:ind w:left="1440" w:hanging="144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Pr="00C54750">
        <w:rPr>
          <w:b/>
        </w:rPr>
        <w:t xml:space="preserve">Licence No. </w:t>
      </w:r>
      <w:r>
        <w:rPr>
          <w:b/>
        </w:rPr>
        <w:t>2BE</w:t>
      </w:r>
      <w:r w:rsidRPr="00C54750">
        <w:rPr>
          <w:b/>
        </w:rPr>
        <w:t>-</w:t>
      </w:r>
      <w:r>
        <w:rPr>
          <w:b/>
        </w:rPr>
        <w:t xml:space="preserve">BUG0712 </w:t>
      </w:r>
      <w:r w:rsidRPr="004365CE">
        <w:rPr>
          <w:b/>
        </w:rPr>
        <w:t>“</w:t>
      </w:r>
      <w:r>
        <w:rPr>
          <w:b/>
        </w:rPr>
        <w:t>Bugs Project”, Kivalliq Region, Nunavut; Cancellation of the Licence</w:t>
      </w:r>
    </w:p>
    <w:p w:rsidR="00B50564" w:rsidRPr="00830BCB" w:rsidRDefault="00B50564" w:rsidP="00B50564">
      <w:pPr>
        <w:pBdr>
          <w:top w:val="single" w:sz="8" w:space="1" w:color="D9D9D9"/>
        </w:pBdr>
        <w:tabs>
          <w:tab w:val="left" w:pos="2520"/>
        </w:tabs>
        <w:spacing w:before="120"/>
      </w:pPr>
    </w:p>
    <w:p w:rsidR="00B50564" w:rsidRPr="00C54750" w:rsidRDefault="00B50564" w:rsidP="00B50564">
      <w:r w:rsidRPr="00C54750">
        <w:t xml:space="preserve">Dear </w:t>
      </w:r>
      <w:r>
        <w:t>Mr.</w:t>
      </w:r>
      <w:r w:rsidRPr="00C54750">
        <w:t xml:space="preserve"> </w:t>
      </w:r>
      <w:r>
        <w:t>Pitman:</w:t>
      </w:r>
    </w:p>
    <w:p w:rsidR="00B50564" w:rsidRPr="00C54750" w:rsidRDefault="00B50564" w:rsidP="00B50564"/>
    <w:p w:rsidR="00C63FB0" w:rsidRDefault="00334FB3" w:rsidP="00C63FB0">
      <w:pPr>
        <w:widowControl/>
      </w:pPr>
      <w:r>
        <w:t>On December 22, 2010, t</w:t>
      </w:r>
      <w:r w:rsidR="00B50564" w:rsidRPr="00C54750">
        <w:t>he Nunavut Water Board (“NWB</w:t>
      </w:r>
      <w:r w:rsidR="00F13718">
        <w:t xml:space="preserve"> or Board</w:t>
      </w:r>
      <w:r w:rsidR="00B50564" w:rsidRPr="00C54750">
        <w:t xml:space="preserve">”) </w:t>
      </w:r>
      <w:r w:rsidR="009E33E0">
        <w:t>received from</w:t>
      </w:r>
      <w:r>
        <w:t xml:space="preserve"> UR-Energy Inc.</w:t>
      </w:r>
      <w:r w:rsidR="00F13718">
        <w:t xml:space="preserve"> an application to cancel the</w:t>
      </w:r>
      <w:r w:rsidR="00925474">
        <w:t xml:space="preserve"> water </w:t>
      </w:r>
      <w:r w:rsidR="00B50564">
        <w:t xml:space="preserve">licence </w:t>
      </w:r>
      <w:r w:rsidR="00B50564" w:rsidRPr="004365CE">
        <w:t xml:space="preserve">for the above-mentioned </w:t>
      </w:r>
      <w:r w:rsidR="00B50564">
        <w:t>p</w:t>
      </w:r>
      <w:r w:rsidR="00B50564" w:rsidRPr="004365CE">
        <w:t>roject</w:t>
      </w:r>
      <w:r w:rsidR="00F13718">
        <w:t xml:space="preserve">, located 340 </w:t>
      </w:r>
      <w:r>
        <w:t>kilometers</w:t>
      </w:r>
      <w:r w:rsidR="00F13718">
        <w:t xml:space="preserve"> </w:t>
      </w:r>
      <w:r>
        <w:t>east-</w:t>
      </w:r>
      <w:r w:rsidR="00F13718">
        <w:t xml:space="preserve">southeast of Arviat in the Kivalliq Region of Nunavut. On March 1, 2011, </w:t>
      </w:r>
      <w:r>
        <w:t xml:space="preserve">the </w:t>
      </w:r>
      <w:r w:rsidR="00F13718">
        <w:t>Board distributed t</w:t>
      </w:r>
      <w:r w:rsidR="00B50564">
        <w:t xml:space="preserve">he application for </w:t>
      </w:r>
      <w:r w:rsidR="0063231C">
        <w:t xml:space="preserve">a </w:t>
      </w:r>
      <w:r>
        <w:t xml:space="preserve">thirty </w:t>
      </w:r>
      <w:r w:rsidR="00F13718">
        <w:t>day</w:t>
      </w:r>
      <w:r w:rsidR="007B71CF">
        <w:t xml:space="preserve"> </w:t>
      </w:r>
      <w:r w:rsidR="00C63FB0">
        <w:t>comment</w:t>
      </w:r>
      <w:r w:rsidR="00F13718">
        <w:t xml:space="preserve"> period</w:t>
      </w:r>
      <w:r w:rsidR="00B50564">
        <w:t xml:space="preserve">. </w:t>
      </w:r>
      <w:r w:rsidR="00C63FB0">
        <w:t xml:space="preserve"> </w:t>
      </w:r>
      <w:r w:rsidR="00F13718">
        <w:t>Before the deadline for c</w:t>
      </w:r>
      <w:r w:rsidR="00C63FB0">
        <w:t>omments</w:t>
      </w:r>
      <w:r w:rsidR="00F13718">
        <w:t>, submissions</w:t>
      </w:r>
      <w:r w:rsidR="00F13718">
        <w:rPr>
          <w:rStyle w:val="FootnoteReference"/>
        </w:rPr>
        <w:footnoteReference w:id="1"/>
      </w:r>
      <w:r w:rsidR="00C63FB0">
        <w:t xml:space="preserve"> were received from Environment Canada (EC) and from Indian and Northern Canada (INAC)</w:t>
      </w:r>
      <w:r>
        <w:t>.</w:t>
      </w:r>
      <w:r w:rsidR="0063231C">
        <w:t xml:space="preserve"> </w:t>
      </w:r>
      <w:r w:rsidR="00C63FB0">
        <w:t xml:space="preserve">EC expressed no objections to the cancellation of the licence.  INAC </w:t>
      </w:r>
      <w:r w:rsidR="009409F4">
        <w:t xml:space="preserve">Waters </w:t>
      </w:r>
      <w:r w:rsidR="009E33E0">
        <w:t xml:space="preserve">Resources </w:t>
      </w:r>
      <w:r w:rsidR="009409F4">
        <w:t xml:space="preserve">recommended </w:t>
      </w:r>
      <w:r w:rsidR="00C63FB0">
        <w:t>that the licence not be cancelled</w:t>
      </w:r>
      <w:r>
        <w:t xml:space="preserve"> </w:t>
      </w:r>
      <w:r w:rsidR="00C63FB0">
        <w:t>/</w:t>
      </w:r>
      <w:r>
        <w:t xml:space="preserve"> </w:t>
      </w:r>
      <w:r w:rsidR="00C63FB0">
        <w:t>closed until INAC provides confirmatio</w:t>
      </w:r>
      <w:r w:rsidR="009409F4">
        <w:t xml:space="preserve">n that no compliance issues </w:t>
      </w:r>
      <w:r w:rsidR="00C63FB0">
        <w:t xml:space="preserve">associated </w:t>
      </w:r>
      <w:r w:rsidR="009409F4">
        <w:t>with the project are outstanding</w:t>
      </w:r>
      <w:r w:rsidR="00C63FB0">
        <w:t xml:space="preserve">. </w:t>
      </w:r>
    </w:p>
    <w:p w:rsidR="00C63FB0" w:rsidRDefault="00C63FB0" w:rsidP="00C63FB0">
      <w:pPr>
        <w:widowControl/>
      </w:pPr>
    </w:p>
    <w:p w:rsidR="009409F4" w:rsidRPr="009409F4" w:rsidDel="00163300" w:rsidRDefault="009409F4" w:rsidP="009409F4">
      <w:pPr>
        <w:pStyle w:val="TOC1"/>
        <w:rPr>
          <w:sz w:val="24"/>
          <w:szCs w:val="24"/>
        </w:rPr>
      </w:pPr>
      <w:r w:rsidRPr="009409F4">
        <w:rPr>
          <w:sz w:val="24"/>
          <w:szCs w:val="24"/>
        </w:rPr>
        <w:t xml:space="preserve">On July 06, 2011, INAC Field Operations Section </w:t>
      </w:r>
      <w:r w:rsidR="005D137A">
        <w:rPr>
          <w:sz w:val="24"/>
          <w:szCs w:val="24"/>
        </w:rPr>
        <w:t>informed</w:t>
      </w:r>
      <w:r w:rsidRPr="009409F4">
        <w:rPr>
          <w:sz w:val="24"/>
          <w:szCs w:val="24"/>
        </w:rPr>
        <w:t xml:space="preserve"> the </w:t>
      </w:r>
      <w:r w:rsidR="00C63FB0" w:rsidRPr="009409F4">
        <w:rPr>
          <w:sz w:val="24"/>
          <w:szCs w:val="24"/>
        </w:rPr>
        <w:t xml:space="preserve">NWB </w:t>
      </w:r>
      <w:r w:rsidRPr="009409F4">
        <w:rPr>
          <w:sz w:val="24"/>
          <w:szCs w:val="24"/>
        </w:rPr>
        <w:t xml:space="preserve">that the file may be approved for closure.  Upon review of </w:t>
      </w:r>
      <w:r w:rsidR="0040072C">
        <w:rPr>
          <w:sz w:val="24"/>
          <w:szCs w:val="24"/>
        </w:rPr>
        <w:t>all</w:t>
      </w:r>
      <w:r>
        <w:rPr>
          <w:sz w:val="24"/>
          <w:szCs w:val="24"/>
        </w:rPr>
        <w:t xml:space="preserve"> information</w:t>
      </w:r>
      <w:r w:rsidRPr="009409F4">
        <w:rPr>
          <w:sz w:val="24"/>
          <w:szCs w:val="24"/>
        </w:rPr>
        <w:t xml:space="preserve">, NWB </w:t>
      </w:r>
      <w:r w:rsidRPr="0063231C">
        <w:rPr>
          <w:sz w:val="24"/>
          <w:szCs w:val="24"/>
        </w:rPr>
        <w:t xml:space="preserve">determined that the application </w:t>
      </w:r>
      <w:r w:rsidR="00532685" w:rsidRPr="0063231C">
        <w:rPr>
          <w:sz w:val="24"/>
          <w:szCs w:val="24"/>
        </w:rPr>
        <w:t>fulfills</w:t>
      </w:r>
      <w:r w:rsidRPr="0063231C">
        <w:rPr>
          <w:sz w:val="24"/>
          <w:szCs w:val="24"/>
        </w:rPr>
        <w:t xml:space="preserve"> the requirements of </w:t>
      </w:r>
      <w:r w:rsidR="0040072C" w:rsidRPr="0063231C">
        <w:rPr>
          <w:sz w:val="24"/>
          <w:szCs w:val="24"/>
        </w:rPr>
        <w:t>s.</w:t>
      </w:r>
      <w:r w:rsidR="00532685" w:rsidRPr="0063231C">
        <w:rPr>
          <w:sz w:val="24"/>
          <w:szCs w:val="24"/>
        </w:rPr>
        <w:t xml:space="preserve"> 43</w:t>
      </w:r>
      <w:r w:rsidR="0040072C" w:rsidRPr="0063231C">
        <w:rPr>
          <w:sz w:val="24"/>
          <w:szCs w:val="24"/>
        </w:rPr>
        <w:t>(1)(c)</w:t>
      </w:r>
      <w:r w:rsidR="00532685" w:rsidRPr="0063231C">
        <w:rPr>
          <w:sz w:val="24"/>
          <w:szCs w:val="24"/>
        </w:rPr>
        <w:t xml:space="preserve"> of</w:t>
      </w:r>
      <w:r w:rsidR="00532685" w:rsidRPr="0063231C">
        <w:rPr>
          <w:i/>
          <w:sz w:val="24"/>
          <w:szCs w:val="24"/>
        </w:rPr>
        <w:t xml:space="preserve"> Nunavut Waters and Nunavut Surface Rights Tribunal Act</w:t>
      </w:r>
      <w:r w:rsidR="00532685" w:rsidRPr="0063231C">
        <w:rPr>
          <w:sz w:val="24"/>
          <w:szCs w:val="24"/>
        </w:rPr>
        <w:t xml:space="preserve"> (</w:t>
      </w:r>
      <w:r w:rsidR="00532685" w:rsidRPr="0063231C">
        <w:rPr>
          <w:i/>
          <w:sz w:val="24"/>
          <w:szCs w:val="24"/>
        </w:rPr>
        <w:t>Act</w:t>
      </w:r>
      <w:r w:rsidR="00532685" w:rsidRPr="0063231C">
        <w:rPr>
          <w:sz w:val="24"/>
          <w:szCs w:val="24"/>
        </w:rPr>
        <w:t>)</w:t>
      </w:r>
      <w:r w:rsidR="0040072C" w:rsidRPr="0063231C">
        <w:rPr>
          <w:rStyle w:val="FootnoteReference"/>
          <w:sz w:val="24"/>
          <w:szCs w:val="24"/>
        </w:rPr>
        <w:footnoteReference w:id="2"/>
      </w:r>
      <w:r w:rsidR="0040072C" w:rsidRPr="0063231C">
        <w:rPr>
          <w:sz w:val="24"/>
          <w:szCs w:val="24"/>
        </w:rPr>
        <w:t xml:space="preserve"> and NWB </w:t>
      </w:r>
      <w:r w:rsidR="0040072C" w:rsidRPr="0063231C">
        <w:rPr>
          <w:i/>
          <w:sz w:val="24"/>
          <w:szCs w:val="24"/>
        </w:rPr>
        <w:t>Guide 7</w:t>
      </w:r>
      <w:r w:rsidR="009E33E0" w:rsidRPr="0063231C">
        <w:rPr>
          <w:i/>
          <w:sz w:val="24"/>
          <w:szCs w:val="24"/>
        </w:rPr>
        <w:t>.</w:t>
      </w:r>
      <w:r w:rsidR="0040072C" w:rsidRPr="0063231C">
        <w:rPr>
          <w:rStyle w:val="FootnoteReference"/>
          <w:sz w:val="24"/>
          <w:szCs w:val="24"/>
        </w:rPr>
        <w:footnoteReference w:id="3"/>
      </w:r>
      <w:r w:rsidRPr="0063231C">
        <w:rPr>
          <w:sz w:val="24"/>
          <w:szCs w:val="24"/>
        </w:rPr>
        <w:t xml:space="preserve">  The NWB has, therefore, approved the </w:t>
      </w:r>
      <w:r w:rsidR="005D137A" w:rsidRPr="0063231C">
        <w:rPr>
          <w:sz w:val="24"/>
          <w:szCs w:val="24"/>
        </w:rPr>
        <w:t xml:space="preserve">application for </w:t>
      </w:r>
      <w:r w:rsidR="00532685" w:rsidRPr="0063231C">
        <w:rPr>
          <w:sz w:val="24"/>
          <w:szCs w:val="24"/>
        </w:rPr>
        <w:t xml:space="preserve">water licence </w:t>
      </w:r>
      <w:r w:rsidR="005D137A" w:rsidRPr="0063231C">
        <w:rPr>
          <w:sz w:val="24"/>
          <w:szCs w:val="24"/>
        </w:rPr>
        <w:t xml:space="preserve">cancellation </w:t>
      </w:r>
      <w:r w:rsidRPr="0063231C">
        <w:rPr>
          <w:sz w:val="24"/>
          <w:szCs w:val="24"/>
        </w:rPr>
        <w:t xml:space="preserve">through Board Motion No. </w:t>
      </w:r>
      <w:r w:rsidR="00532685" w:rsidRPr="0063231C">
        <w:rPr>
          <w:sz w:val="24"/>
          <w:szCs w:val="24"/>
        </w:rPr>
        <w:t>2011</w:t>
      </w:r>
      <w:r w:rsidR="0063231C" w:rsidRPr="0063231C">
        <w:rPr>
          <w:sz w:val="24"/>
          <w:szCs w:val="24"/>
        </w:rPr>
        <w:t>-11-L04</w:t>
      </w:r>
      <w:r w:rsidRPr="0063231C">
        <w:rPr>
          <w:sz w:val="24"/>
          <w:szCs w:val="24"/>
        </w:rPr>
        <w:t xml:space="preserve">, dated </w:t>
      </w:r>
      <w:r w:rsidR="00532685" w:rsidRPr="0063231C">
        <w:rPr>
          <w:sz w:val="24"/>
          <w:szCs w:val="24"/>
        </w:rPr>
        <w:t>July</w:t>
      </w:r>
      <w:r w:rsidR="0063231C" w:rsidRPr="0063231C">
        <w:rPr>
          <w:sz w:val="24"/>
          <w:szCs w:val="24"/>
        </w:rPr>
        <w:t xml:space="preserve"> 19</w:t>
      </w:r>
      <w:r w:rsidR="00532685" w:rsidRPr="0063231C">
        <w:rPr>
          <w:sz w:val="24"/>
          <w:szCs w:val="24"/>
        </w:rPr>
        <w:t>, 2011</w:t>
      </w:r>
      <w:r w:rsidRPr="0063231C">
        <w:rPr>
          <w:sz w:val="24"/>
          <w:szCs w:val="24"/>
        </w:rPr>
        <w:t>.</w:t>
      </w:r>
      <w:r w:rsidRPr="009409F4">
        <w:rPr>
          <w:sz w:val="24"/>
          <w:szCs w:val="24"/>
        </w:rPr>
        <w:t xml:space="preserve">  </w:t>
      </w:r>
    </w:p>
    <w:p w:rsidR="00C63FB0" w:rsidRPr="009409F4" w:rsidRDefault="00C63FB0" w:rsidP="00C63FB0">
      <w:pPr>
        <w:widowControl/>
      </w:pPr>
    </w:p>
    <w:p w:rsidR="00C63FB0" w:rsidRPr="00C54750" w:rsidRDefault="00C63FB0" w:rsidP="00C63FB0">
      <w:r>
        <w:t>Should you have any</w:t>
      </w:r>
      <w:r w:rsidRPr="00C54750">
        <w:t xml:space="preserve"> questions, please feel free to contact the </w:t>
      </w:r>
      <w:r w:rsidR="001B0396">
        <w:t>Board</w:t>
      </w:r>
      <w:r w:rsidRPr="00C54750">
        <w:t xml:space="preserve"> at (867) 360-6338</w:t>
      </w:r>
      <w:r>
        <w:t xml:space="preserve"> or </w:t>
      </w:r>
      <w:hyperlink r:id="rId9" w:history="1">
        <w:r w:rsidR="001B0396" w:rsidRPr="005E6EC1">
          <w:rPr>
            <w:rStyle w:val="Hyperlink"/>
          </w:rPr>
          <w:t>licensing@nunavutwaterboard.org</w:t>
        </w:r>
      </w:hyperlink>
      <w:r w:rsidRPr="00C54750">
        <w:t>, at your earliest convenience.</w:t>
      </w:r>
    </w:p>
    <w:p w:rsidR="005D137A" w:rsidRDefault="005D137A" w:rsidP="00B50564">
      <w:pPr>
        <w:widowControl/>
      </w:pPr>
    </w:p>
    <w:bookmarkEnd w:id="0"/>
    <w:p w:rsidR="001B0396" w:rsidRPr="007D3350" w:rsidRDefault="001B0396" w:rsidP="001B0396">
      <w:pPr>
        <w:ind w:left="5040"/>
        <w:rPr>
          <w:sz w:val="22"/>
          <w:szCs w:val="22"/>
        </w:rPr>
      </w:pPr>
      <w:r w:rsidRPr="007D3350">
        <w:rPr>
          <w:sz w:val="22"/>
          <w:szCs w:val="22"/>
        </w:rPr>
        <w:t>Sincerely,</w:t>
      </w:r>
    </w:p>
    <w:p w:rsidR="001B0396" w:rsidRPr="007D3350" w:rsidRDefault="0063231C" w:rsidP="001B0396">
      <w:pPr>
        <w:ind w:left="5040"/>
        <w:rPr>
          <w:bCs/>
          <w:i/>
          <w:iCs/>
          <w:sz w:val="22"/>
          <w:szCs w:val="22"/>
        </w:rPr>
      </w:pPr>
      <w:r w:rsidRPr="0063231C">
        <w:rPr>
          <w:bCs/>
          <w:i/>
          <w:iCs/>
          <w:sz w:val="22"/>
          <w:szCs w:val="22"/>
        </w:rPr>
        <w:drawing>
          <wp:inline distT="0" distB="0" distL="0" distR="0">
            <wp:extent cx="1028518" cy="293298"/>
            <wp:effectExtent l="19050" t="0" r="18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648" cy="29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396" w:rsidRPr="007D3350" w:rsidRDefault="001B0396" w:rsidP="001B0396">
      <w:pPr>
        <w:pBdr>
          <w:top w:val="single" w:sz="4" w:space="1" w:color="auto"/>
        </w:pBdr>
        <w:ind w:left="5040" w:right="1320"/>
        <w:rPr>
          <w:sz w:val="22"/>
          <w:szCs w:val="22"/>
        </w:rPr>
      </w:pPr>
      <w:r w:rsidRPr="007D3350">
        <w:rPr>
          <w:sz w:val="22"/>
          <w:szCs w:val="22"/>
        </w:rPr>
        <w:t>Thomas Kabloona</w:t>
      </w:r>
    </w:p>
    <w:p w:rsidR="001B0396" w:rsidRDefault="001B0396" w:rsidP="001B0396">
      <w:pPr>
        <w:ind w:left="5040"/>
        <w:rPr>
          <w:sz w:val="22"/>
          <w:szCs w:val="22"/>
        </w:rPr>
      </w:pPr>
      <w:r>
        <w:rPr>
          <w:sz w:val="22"/>
          <w:szCs w:val="22"/>
        </w:rPr>
        <w:t>Nunavut Water Board</w:t>
      </w:r>
    </w:p>
    <w:p w:rsidR="001B0396" w:rsidRPr="007D3350" w:rsidRDefault="001B0396" w:rsidP="001B0396">
      <w:pPr>
        <w:ind w:left="5040"/>
        <w:rPr>
          <w:sz w:val="22"/>
          <w:szCs w:val="22"/>
        </w:rPr>
      </w:pPr>
      <w:r>
        <w:rPr>
          <w:sz w:val="22"/>
          <w:szCs w:val="22"/>
        </w:rPr>
        <w:t>Chair</w:t>
      </w:r>
    </w:p>
    <w:p w:rsidR="001B0396" w:rsidRDefault="001B0396" w:rsidP="001B0396">
      <w:pPr>
        <w:rPr>
          <w:sz w:val="22"/>
          <w:szCs w:val="22"/>
        </w:rPr>
      </w:pPr>
    </w:p>
    <w:p w:rsidR="001B0396" w:rsidRDefault="001B0396" w:rsidP="001B0396">
      <w:pPr>
        <w:rPr>
          <w:sz w:val="22"/>
          <w:szCs w:val="22"/>
        </w:rPr>
      </w:pPr>
      <w:r w:rsidRPr="007D3350">
        <w:rPr>
          <w:sz w:val="22"/>
          <w:szCs w:val="22"/>
        </w:rPr>
        <w:t>TK/</w:t>
      </w:r>
      <w:proofErr w:type="spellStart"/>
      <w:r>
        <w:rPr>
          <w:sz w:val="22"/>
          <w:szCs w:val="22"/>
        </w:rPr>
        <w:t>kk</w:t>
      </w:r>
      <w:proofErr w:type="spellEnd"/>
      <w:r>
        <w:rPr>
          <w:sz w:val="22"/>
          <w:szCs w:val="22"/>
        </w:rPr>
        <w:t xml:space="preserve"> </w:t>
      </w:r>
    </w:p>
    <w:p w:rsidR="001B0396" w:rsidRPr="007D3350" w:rsidRDefault="001B0396" w:rsidP="001B0396">
      <w:pPr>
        <w:rPr>
          <w:sz w:val="22"/>
          <w:szCs w:val="22"/>
        </w:rPr>
      </w:pPr>
      <w:r w:rsidRPr="007D3350">
        <w:rPr>
          <w:sz w:val="22"/>
          <w:szCs w:val="22"/>
        </w:rPr>
        <w:t>cc:</w:t>
      </w:r>
      <w:r w:rsidRPr="007D3350">
        <w:rPr>
          <w:sz w:val="22"/>
          <w:szCs w:val="22"/>
        </w:rPr>
        <w:tab/>
        <w:t xml:space="preserve">Distribution – </w:t>
      </w:r>
      <w:r w:rsidRPr="00957351">
        <w:rPr>
          <w:sz w:val="22"/>
          <w:szCs w:val="22"/>
        </w:rPr>
        <w:t>Kivalliq</w:t>
      </w:r>
    </w:p>
    <w:sectPr w:rsidR="001B0396" w:rsidRPr="007D3350" w:rsidSect="001B0396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77E" w:rsidRDefault="0041577E" w:rsidP="0040072C">
      <w:r>
        <w:separator/>
      </w:r>
    </w:p>
  </w:endnote>
  <w:endnote w:type="continuationSeparator" w:id="0">
    <w:p w:rsidR="0041577E" w:rsidRDefault="0041577E" w:rsidP="00400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77E" w:rsidRDefault="0041577E" w:rsidP="0040072C">
      <w:r>
        <w:separator/>
      </w:r>
    </w:p>
  </w:footnote>
  <w:footnote w:type="continuationSeparator" w:id="0">
    <w:p w:rsidR="0041577E" w:rsidRDefault="0041577E" w:rsidP="0040072C">
      <w:r>
        <w:continuationSeparator/>
      </w:r>
    </w:p>
  </w:footnote>
  <w:footnote w:id="1">
    <w:p w:rsidR="00F13718" w:rsidRPr="001B0396" w:rsidRDefault="00334FB3">
      <w:pPr>
        <w:pStyle w:val="FootnoteText"/>
        <w:rPr>
          <w:sz w:val="18"/>
          <w:szCs w:val="18"/>
        </w:rPr>
      </w:pPr>
      <w:r w:rsidRPr="001B0396">
        <w:rPr>
          <w:rStyle w:val="FootnoteReference"/>
          <w:sz w:val="18"/>
          <w:szCs w:val="18"/>
        </w:rPr>
        <w:footnoteRef/>
      </w:r>
      <w:r w:rsidRPr="001B0396">
        <w:rPr>
          <w:sz w:val="18"/>
          <w:szCs w:val="18"/>
        </w:rPr>
        <w:t xml:space="preserve"> Environment Canada (EC), March 4, 2011 and Indian and Northern Affairs Canada (INAC), March 28, 2011.</w:t>
      </w:r>
    </w:p>
  </w:footnote>
  <w:footnote w:id="2">
    <w:p w:rsidR="0040072C" w:rsidRPr="001B0396" w:rsidRDefault="0040072C">
      <w:pPr>
        <w:pStyle w:val="FootnoteText"/>
        <w:rPr>
          <w:sz w:val="18"/>
          <w:szCs w:val="18"/>
        </w:rPr>
      </w:pPr>
      <w:r w:rsidRPr="001B0396">
        <w:rPr>
          <w:rStyle w:val="FootnoteReference"/>
          <w:sz w:val="18"/>
          <w:szCs w:val="18"/>
        </w:rPr>
        <w:footnoteRef/>
      </w:r>
      <w:r w:rsidRPr="001B0396">
        <w:rPr>
          <w:sz w:val="18"/>
          <w:szCs w:val="18"/>
        </w:rPr>
        <w:t xml:space="preserve"> </w:t>
      </w:r>
      <w:r w:rsidR="005D137A" w:rsidRPr="001B0396">
        <w:rPr>
          <w:sz w:val="18"/>
          <w:szCs w:val="18"/>
        </w:rPr>
        <w:t>The s. 43(1</w:t>
      </w:r>
      <w:proofErr w:type="gramStart"/>
      <w:r w:rsidR="005D137A" w:rsidRPr="001B0396">
        <w:rPr>
          <w:sz w:val="18"/>
          <w:szCs w:val="18"/>
        </w:rPr>
        <w:t>)(</w:t>
      </w:r>
      <w:proofErr w:type="gramEnd"/>
      <w:r w:rsidR="005D137A" w:rsidRPr="001B0396">
        <w:rPr>
          <w:sz w:val="18"/>
          <w:szCs w:val="18"/>
        </w:rPr>
        <w:t xml:space="preserve">c) indicates when the Board may cancel a licence. </w:t>
      </w:r>
    </w:p>
  </w:footnote>
  <w:footnote w:id="3">
    <w:p w:rsidR="0040072C" w:rsidRDefault="0040072C">
      <w:pPr>
        <w:pStyle w:val="FootnoteText"/>
      </w:pPr>
      <w:r w:rsidRPr="001B0396">
        <w:rPr>
          <w:rStyle w:val="FootnoteReference"/>
          <w:sz w:val="18"/>
          <w:szCs w:val="18"/>
        </w:rPr>
        <w:footnoteRef/>
      </w:r>
      <w:r w:rsidRPr="001B0396">
        <w:rPr>
          <w:sz w:val="18"/>
          <w:szCs w:val="18"/>
        </w:rPr>
        <w:t xml:space="preserve"> The minimum information requirements set out in the NWB Guidance Document- </w:t>
      </w:r>
      <w:r w:rsidRPr="001B0396">
        <w:rPr>
          <w:i/>
          <w:sz w:val="18"/>
          <w:szCs w:val="18"/>
        </w:rPr>
        <w:t>Guide 7 – Licensee Requirements Following the Issuance of a Water Licence, April 2010</w:t>
      </w:r>
      <w:r w:rsidRPr="001B0396">
        <w:rPr>
          <w:sz w:val="18"/>
          <w:szCs w:val="18"/>
        </w:rPr>
        <w:t>, see Part 11 and Table 4</w:t>
      </w:r>
      <w:r w:rsidR="005D137A" w:rsidRPr="001B0396">
        <w:rPr>
          <w:sz w:val="18"/>
          <w:szCs w:val="18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564"/>
    <w:rsid w:val="001B0396"/>
    <w:rsid w:val="00316E8E"/>
    <w:rsid w:val="00330E96"/>
    <w:rsid w:val="00334FB3"/>
    <w:rsid w:val="0040072C"/>
    <w:rsid w:val="0041577E"/>
    <w:rsid w:val="004E4191"/>
    <w:rsid w:val="00526295"/>
    <w:rsid w:val="00532685"/>
    <w:rsid w:val="005D137A"/>
    <w:rsid w:val="00623E98"/>
    <w:rsid w:val="0063231C"/>
    <w:rsid w:val="007B71CF"/>
    <w:rsid w:val="00825388"/>
    <w:rsid w:val="0089289C"/>
    <w:rsid w:val="00894827"/>
    <w:rsid w:val="00925474"/>
    <w:rsid w:val="009409F4"/>
    <w:rsid w:val="00971482"/>
    <w:rsid w:val="009E33E0"/>
    <w:rsid w:val="00A21DDD"/>
    <w:rsid w:val="00A35654"/>
    <w:rsid w:val="00B50564"/>
    <w:rsid w:val="00B6294B"/>
    <w:rsid w:val="00C63FB0"/>
    <w:rsid w:val="00CB7877"/>
    <w:rsid w:val="00D4405C"/>
    <w:rsid w:val="00D82A65"/>
    <w:rsid w:val="00F13718"/>
    <w:rsid w:val="00F9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5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50564"/>
    <w:rPr>
      <w:color w:val="0000FF"/>
      <w:sz w:val="24"/>
      <w:u w:val="single"/>
    </w:rPr>
  </w:style>
  <w:style w:type="paragraph" w:customStyle="1" w:styleId="Default">
    <w:name w:val="Default"/>
    <w:rsid w:val="00B50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9409F4"/>
    <w:rPr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07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072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072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3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3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3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3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pconsulting@bellnet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7D517-8ED7-4720-A598-3FE2F0D2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Carr</dc:creator>
  <cp:lastModifiedBy>licensing</cp:lastModifiedBy>
  <cp:revision>3</cp:revision>
  <dcterms:created xsi:type="dcterms:W3CDTF">2011-06-30T21:35:00Z</dcterms:created>
  <dcterms:modified xsi:type="dcterms:W3CDTF">2011-06-30T21:37:00Z</dcterms:modified>
</cp:coreProperties>
</file>