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110" w:type="dxa"/>
        <w:tblInd w:w="2268" w:type="dxa"/>
        <w:tblLook w:val="01E0" w:firstRow="1" w:lastRow="1" w:firstColumn="1" w:lastColumn="1" w:noHBand="0" w:noVBand="0"/>
      </w:tblPr>
      <w:tblGrid>
        <w:gridCol w:w="3510"/>
        <w:gridCol w:w="3600"/>
      </w:tblGrid>
      <w:tr w:rsidR="000D19CB" w:rsidRPr="006A7CC7" w:rsidTr="00F34866">
        <w:tc>
          <w:tcPr>
            <w:tcW w:w="3510" w:type="dxa"/>
            <w:vAlign w:val="center"/>
          </w:tcPr>
          <w:p w:rsidR="000D19CB" w:rsidRPr="006A7CC7" w:rsidRDefault="000D19CB" w:rsidP="00F34866">
            <w:pPr>
              <w:spacing w:before="60"/>
              <w:rPr>
                <w:smallCaps/>
                <w:color w:val="3C78DC"/>
              </w:rPr>
            </w:pPr>
            <w:bookmarkStart w:id="0" w:name="_Toc131401988"/>
            <w:r w:rsidRPr="006A7CC7">
              <w:rPr>
                <w:smallCaps/>
                <w:noProof/>
                <w:color w:val="3C78DC"/>
              </w:rPr>
              <w:drawing>
                <wp:anchor distT="0" distB="0" distL="114300" distR="114300" simplePos="0" relativeHeight="251659264" behindDoc="1" locked="0" layoutInCell="1" allowOverlap="1" wp14:anchorId="3C55F77F" wp14:editId="49048BD1">
                  <wp:simplePos x="0" y="0"/>
                  <wp:positionH relativeFrom="column">
                    <wp:posOffset>-1550670</wp:posOffset>
                  </wp:positionH>
                  <wp:positionV relativeFrom="paragraph">
                    <wp:posOffset>-275590</wp:posOffset>
                  </wp:positionV>
                  <wp:extent cx="1390650" cy="1390650"/>
                  <wp:effectExtent l="19050" t="0" r="0" b="0"/>
                  <wp:wrapNone/>
                  <wp:docPr id="1" name="Picture 7" descr="NWB Logo Inuktitut -  Dk LT blue text P286C P2727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WB Logo Inuktitut -  Dk LT blue text P286C P2727C-small"/>
                          <pic:cNvPicPr>
                            <a:picLocks noChangeAspect="1" noChangeArrowheads="1"/>
                          </pic:cNvPicPr>
                        </pic:nvPicPr>
                        <pic:blipFill>
                          <a:blip r:embed="rId8" cstate="print"/>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sidRPr="006A7CC7">
              <w:rPr>
                <w:smallCaps/>
                <w:color w:val="3C78DC"/>
                <w:sz w:val="19"/>
              </w:rPr>
              <w:t xml:space="preserve">P.O. </w:t>
            </w:r>
            <w:smartTag w:uri="urn:schemas-microsoft-com:office:smarttags" w:element="address">
              <w:smartTag w:uri="urn:schemas-microsoft-com:office:smarttags" w:element="Street">
                <w:r w:rsidRPr="006A7CC7">
                  <w:rPr>
                    <w:smallCaps/>
                    <w:color w:val="3C78DC"/>
                    <w:sz w:val="19"/>
                  </w:rPr>
                  <w:t>Box</w:t>
                </w:r>
              </w:smartTag>
              <w:r w:rsidRPr="006A7CC7">
                <w:rPr>
                  <w:smallCaps/>
                  <w:color w:val="3C78DC"/>
                  <w:sz w:val="19"/>
                </w:rPr>
                <w:t xml:space="preserve"> 119</w:t>
              </w:r>
            </w:smartTag>
          </w:p>
        </w:tc>
        <w:tc>
          <w:tcPr>
            <w:tcW w:w="3600" w:type="dxa"/>
          </w:tcPr>
          <w:p w:rsidR="000D19CB" w:rsidRPr="006A7CC7" w:rsidRDefault="000D19CB" w:rsidP="00F34866">
            <w:pPr>
              <w:spacing w:before="60"/>
              <w:rPr>
                <w:rFonts w:ascii="ProSyl" w:hAnsi="ProSyl"/>
                <w:smallCaps/>
                <w:color w:val="3C78DC"/>
              </w:rPr>
            </w:pPr>
            <w:r w:rsidRPr="006A7CC7">
              <w:rPr>
                <w:rFonts w:ascii="ProSyl" w:hAnsi="ProSyl"/>
                <w:color w:val="3C78DC"/>
              </w:rPr>
              <w:t>kNK5 wmoEp5 vtmp5</w:t>
            </w:r>
          </w:p>
        </w:tc>
      </w:tr>
      <w:tr w:rsidR="000D19CB" w:rsidRPr="006A7CC7" w:rsidTr="00F34866">
        <w:tc>
          <w:tcPr>
            <w:tcW w:w="3510" w:type="dxa"/>
          </w:tcPr>
          <w:p w:rsidR="000D19CB" w:rsidRPr="006A7CC7" w:rsidRDefault="000D19CB" w:rsidP="00F34866">
            <w:pPr>
              <w:spacing w:before="60"/>
              <w:rPr>
                <w:smallCaps/>
                <w:color w:val="3C78DC"/>
              </w:rPr>
            </w:pPr>
            <w:r w:rsidRPr="006A7CC7">
              <w:rPr>
                <w:smallCaps/>
                <w:color w:val="3C78DC"/>
                <w:sz w:val="19"/>
              </w:rPr>
              <w:t>Gjoa Haven, NU    X0B 1J0</w:t>
            </w:r>
          </w:p>
        </w:tc>
        <w:tc>
          <w:tcPr>
            <w:tcW w:w="3600" w:type="dxa"/>
          </w:tcPr>
          <w:p w:rsidR="000D19CB" w:rsidRPr="006A7CC7" w:rsidRDefault="000D19CB" w:rsidP="00F34866">
            <w:pPr>
              <w:spacing w:before="60"/>
              <w:rPr>
                <w:rFonts w:ascii="Arial" w:hAnsi="Arial" w:cs="Arial"/>
                <w:smallCaps/>
                <w:color w:val="3C78DC"/>
              </w:rPr>
            </w:pPr>
            <w:smartTag w:uri="urn:schemas-microsoft-com:office:smarttags" w:element="place">
              <w:smartTag w:uri="urn:schemas-microsoft-com:office:smarttags" w:element="State">
                <w:r w:rsidRPr="006A7CC7">
                  <w:rPr>
                    <w:smallCaps/>
                    <w:color w:val="3C78DC"/>
                    <w:sz w:val="19"/>
                  </w:rPr>
                  <w:t>NUNAVUT</w:t>
                </w:r>
              </w:smartTag>
            </w:smartTag>
            <w:r w:rsidRPr="006A7CC7">
              <w:rPr>
                <w:smallCaps/>
                <w:color w:val="3C78DC"/>
                <w:sz w:val="19"/>
              </w:rPr>
              <w:t xml:space="preserve"> WATER BOARD</w:t>
            </w:r>
          </w:p>
        </w:tc>
      </w:tr>
      <w:tr w:rsidR="000D19CB" w:rsidRPr="006A7CC7" w:rsidTr="00F34866">
        <w:tc>
          <w:tcPr>
            <w:tcW w:w="3510" w:type="dxa"/>
          </w:tcPr>
          <w:p w:rsidR="000D19CB" w:rsidRPr="006A7CC7" w:rsidRDefault="000D19CB" w:rsidP="00F34866">
            <w:pPr>
              <w:spacing w:before="60"/>
              <w:rPr>
                <w:smallCaps/>
                <w:color w:val="3C78DC"/>
              </w:rPr>
            </w:pPr>
            <w:r w:rsidRPr="006A7CC7">
              <w:rPr>
                <w:smallCaps/>
                <w:color w:val="3C78DC"/>
                <w:sz w:val="19"/>
              </w:rPr>
              <w:t>Tel: (867) 360-6338</w:t>
            </w:r>
          </w:p>
        </w:tc>
        <w:tc>
          <w:tcPr>
            <w:tcW w:w="3600" w:type="dxa"/>
          </w:tcPr>
          <w:p w:rsidR="000D19CB" w:rsidRPr="006A7CC7" w:rsidRDefault="000D19CB" w:rsidP="00F34866">
            <w:pPr>
              <w:spacing w:before="60"/>
              <w:rPr>
                <w:rFonts w:ascii="Arial" w:hAnsi="Arial" w:cs="Arial"/>
                <w:smallCaps/>
                <w:color w:val="3C78DC"/>
              </w:rPr>
            </w:pPr>
            <w:smartTag w:uri="urn:schemas-microsoft-com:office:smarttags" w:element="place">
              <w:smartTag w:uri="urn:schemas-microsoft-com:office:smarttags" w:element="State">
                <w:r w:rsidRPr="006A7CC7">
                  <w:rPr>
                    <w:smallCaps/>
                    <w:color w:val="3C78DC"/>
                    <w:sz w:val="19"/>
                  </w:rPr>
                  <w:t>NUNAVUT</w:t>
                </w:r>
              </w:smartTag>
            </w:smartTag>
            <w:r w:rsidRPr="006A7CC7">
              <w:rPr>
                <w:smallCaps/>
                <w:color w:val="3C78DC"/>
                <w:sz w:val="19"/>
              </w:rPr>
              <w:t xml:space="preserve"> IMALIRIYIN KATIMAYIT</w:t>
            </w:r>
          </w:p>
        </w:tc>
      </w:tr>
      <w:tr w:rsidR="000D19CB" w:rsidRPr="006A7CC7" w:rsidTr="00F34866">
        <w:tc>
          <w:tcPr>
            <w:tcW w:w="3510" w:type="dxa"/>
          </w:tcPr>
          <w:p w:rsidR="000D19CB" w:rsidRPr="006A7CC7" w:rsidRDefault="000D19CB" w:rsidP="00F34866">
            <w:pPr>
              <w:spacing w:before="60"/>
              <w:rPr>
                <w:smallCaps/>
                <w:color w:val="3C78DC"/>
              </w:rPr>
            </w:pPr>
            <w:r w:rsidRPr="006A7CC7">
              <w:rPr>
                <w:smallCaps/>
                <w:color w:val="3C78DC"/>
                <w:sz w:val="19"/>
              </w:rPr>
              <w:t>Fax: (867) 360-6369</w:t>
            </w:r>
          </w:p>
        </w:tc>
        <w:tc>
          <w:tcPr>
            <w:tcW w:w="3600" w:type="dxa"/>
          </w:tcPr>
          <w:p w:rsidR="000D19CB" w:rsidRPr="006A7CC7" w:rsidRDefault="000D19CB" w:rsidP="00F34866">
            <w:pPr>
              <w:spacing w:before="60"/>
              <w:rPr>
                <w:rFonts w:ascii="Arial" w:hAnsi="Arial" w:cs="Arial"/>
                <w:smallCaps/>
                <w:color w:val="3C78DC"/>
                <w:lang w:val="fr-FR"/>
              </w:rPr>
            </w:pPr>
            <w:r w:rsidRPr="006A7CC7">
              <w:rPr>
                <w:smallCaps/>
                <w:color w:val="3C78DC"/>
                <w:sz w:val="19"/>
                <w:lang w:val="fr-CA"/>
              </w:rPr>
              <w:t>OFFICE DES EAUX DU NUNAVUT</w:t>
            </w:r>
          </w:p>
        </w:tc>
      </w:tr>
    </w:tbl>
    <w:p w:rsidR="000D19CB" w:rsidRPr="006A7CC7" w:rsidRDefault="000D19CB" w:rsidP="000D19CB">
      <w:pPr>
        <w:pBdr>
          <w:top w:val="thickThinSmallGap" w:sz="24" w:space="0" w:color="3C78DC"/>
        </w:pBdr>
        <w:spacing w:before="120"/>
        <w:ind w:left="2246" w:right="-25"/>
        <w:rPr>
          <w:smallCaps/>
          <w:color w:val="0003F9"/>
          <w:lang w:val="fr-CA"/>
        </w:rPr>
      </w:pPr>
    </w:p>
    <w:p w:rsidR="004460C7" w:rsidRPr="00FE65C8" w:rsidRDefault="004460C7" w:rsidP="004460C7">
      <w:pPr>
        <w:widowControl/>
        <w:tabs>
          <w:tab w:val="left" w:pos="-1440"/>
          <w:tab w:val="left" w:pos="-720"/>
          <w:tab w:val="left" w:pos="-620"/>
          <w:tab w:val="left" w:pos="0"/>
          <w:tab w:val="left" w:pos="720"/>
          <w:tab w:val="left" w:pos="1080"/>
          <w:tab w:val="left" w:pos="2160"/>
          <w:tab w:val="left" w:pos="2520"/>
          <w:tab w:val="left" w:pos="2880"/>
          <w:tab w:val="left" w:pos="3600"/>
          <w:tab w:val="left" w:pos="4320"/>
          <w:tab w:val="left" w:pos="5040"/>
          <w:tab w:val="left" w:pos="5760"/>
          <w:tab w:val="left" w:pos="6480"/>
          <w:tab w:val="left" w:pos="7920"/>
          <w:tab w:val="left" w:pos="8640"/>
          <w:tab w:val="left" w:pos="9360"/>
        </w:tabs>
        <w:ind w:right="-2160"/>
        <w:rPr>
          <w:b/>
          <w:sz w:val="22"/>
          <w:szCs w:val="22"/>
        </w:rPr>
      </w:pPr>
    </w:p>
    <w:p w:rsidR="004460C7" w:rsidRPr="006828AB" w:rsidRDefault="004460C7" w:rsidP="004460C7">
      <w:pPr>
        <w:jc w:val="right"/>
        <w:rPr>
          <w:b/>
          <w:bCs/>
        </w:rPr>
      </w:pPr>
      <w:r w:rsidRPr="006828AB">
        <w:rPr>
          <w:b/>
        </w:rPr>
        <w:t>File No.:</w:t>
      </w:r>
      <w:r w:rsidRPr="00F15420">
        <w:t xml:space="preserve">  </w:t>
      </w:r>
      <w:r w:rsidRPr="006828AB">
        <w:rPr>
          <w:b/>
          <w:bCs/>
        </w:rPr>
        <w:t>2BE-GEO1015/TR/D3&amp;D4</w:t>
      </w:r>
    </w:p>
    <w:p w:rsidR="004460C7" w:rsidRPr="006828AB" w:rsidRDefault="004460C7" w:rsidP="004460C7">
      <w:pPr>
        <w:jc w:val="right"/>
        <w:rPr>
          <w:b/>
          <w:bCs/>
        </w:rPr>
      </w:pPr>
      <w:r w:rsidRPr="006828AB">
        <w:rPr>
          <w:b/>
          <w:bCs/>
        </w:rPr>
        <w:t>2BE-GOO1015/TR/D3&amp;D4</w:t>
      </w:r>
    </w:p>
    <w:p w:rsidR="004460C7" w:rsidRPr="006828AB" w:rsidRDefault="00A1162E" w:rsidP="004460C7">
      <w:pPr>
        <w:rPr>
          <w:b/>
        </w:rPr>
      </w:pPr>
      <w:r>
        <w:rPr>
          <w:b/>
        </w:rPr>
        <w:t>May 1</w:t>
      </w:r>
      <w:r w:rsidR="004460C7" w:rsidRPr="006828AB">
        <w:rPr>
          <w:b/>
        </w:rPr>
        <w:t>, 201</w:t>
      </w:r>
      <w:r w:rsidR="00DB2510">
        <w:rPr>
          <w:b/>
        </w:rPr>
        <w:t>2</w:t>
      </w:r>
    </w:p>
    <w:p w:rsidR="004460C7" w:rsidRPr="00F15420" w:rsidRDefault="004460C7" w:rsidP="004460C7"/>
    <w:p w:rsidR="004460C7" w:rsidRPr="00F15420" w:rsidRDefault="004460C7" w:rsidP="004460C7">
      <w:r w:rsidRPr="00F15420">
        <w:t>John Laitin, Manager</w:t>
      </w:r>
    </w:p>
    <w:p w:rsidR="004460C7" w:rsidRPr="00F15420" w:rsidRDefault="004460C7" w:rsidP="004460C7">
      <w:r w:rsidRPr="00F15420">
        <w:t>Sabina Gold &amp; Silver Corp.</w:t>
      </w:r>
    </w:p>
    <w:p w:rsidR="004460C7" w:rsidRPr="00F15420" w:rsidRDefault="004460C7" w:rsidP="004460C7">
      <w:r w:rsidRPr="00F15420">
        <w:t>930 West 1</w:t>
      </w:r>
      <w:r w:rsidRPr="00F15420">
        <w:rPr>
          <w:vertAlign w:val="superscript"/>
        </w:rPr>
        <w:t>st</w:t>
      </w:r>
      <w:r w:rsidRPr="00F15420">
        <w:t xml:space="preserve"> Street, Suite 202</w:t>
      </w:r>
    </w:p>
    <w:p w:rsidR="004460C7" w:rsidRPr="00F15420" w:rsidRDefault="004460C7" w:rsidP="004460C7">
      <w:r w:rsidRPr="00F15420">
        <w:t>North Vancouver, BC V7P 3N4</w:t>
      </w:r>
    </w:p>
    <w:p w:rsidR="004460C7" w:rsidRPr="00F15420" w:rsidRDefault="004460C7" w:rsidP="004460C7">
      <w:pPr>
        <w:rPr>
          <w:lang w:val="fr-FR"/>
        </w:rPr>
      </w:pPr>
      <w:r w:rsidRPr="00F15420">
        <w:rPr>
          <w:lang w:val="fr-FR"/>
        </w:rPr>
        <w:t xml:space="preserve">E-mail: </w:t>
      </w:r>
      <w:hyperlink r:id="rId9" w:history="1">
        <w:r w:rsidRPr="00F15420">
          <w:rPr>
            <w:rStyle w:val="Hyperlink"/>
            <w:lang w:val="fr-FR"/>
          </w:rPr>
          <w:t>jlaitin@sabinagoldsilver.com</w:t>
        </w:r>
      </w:hyperlink>
    </w:p>
    <w:p w:rsidR="004460C7" w:rsidRPr="00F15420" w:rsidRDefault="007F0FEB" w:rsidP="004460C7">
      <w:r w:rsidRPr="00F15420">
        <w:fldChar w:fldCharType="begin"/>
      </w:r>
      <w:r w:rsidR="004460C7" w:rsidRPr="00F15420">
        <w:instrText xml:space="preserve"> ASK CITYPROVPOST "CITY, PROVINCE, POSTAL CODE ?:" \* MERGEFORMAT </w:instrText>
      </w:r>
      <w:r w:rsidRPr="00F15420">
        <w:fldChar w:fldCharType="end"/>
      </w:r>
    </w:p>
    <w:p w:rsidR="000D19CB" w:rsidRDefault="00DB2510" w:rsidP="00DB2510">
      <w:pPr>
        <w:ind w:left="720" w:hanging="720"/>
        <w:jc w:val="left"/>
        <w:rPr>
          <w:b/>
          <w:i/>
          <w:u w:val="single"/>
        </w:rPr>
      </w:pPr>
      <w:r>
        <w:rPr>
          <w:b/>
          <w:bCs/>
        </w:rPr>
        <w:t xml:space="preserve">RE: </w:t>
      </w:r>
      <w:r>
        <w:rPr>
          <w:b/>
          <w:bCs/>
        </w:rPr>
        <w:tab/>
      </w:r>
      <w:r>
        <w:rPr>
          <w:b/>
          <w:bCs/>
          <w:i/>
          <w:u w:val="single"/>
        </w:rPr>
        <w:t>Licens</w:t>
      </w:r>
      <w:r w:rsidR="004460C7" w:rsidRPr="00F15420">
        <w:rPr>
          <w:b/>
          <w:bCs/>
          <w:i/>
          <w:u w:val="single"/>
        </w:rPr>
        <w:t>e</w:t>
      </w:r>
      <w:r>
        <w:rPr>
          <w:b/>
          <w:bCs/>
          <w:i/>
          <w:u w:val="single"/>
        </w:rPr>
        <w:t>s</w:t>
      </w:r>
      <w:r w:rsidR="004460C7" w:rsidRPr="00F15420">
        <w:rPr>
          <w:b/>
          <w:bCs/>
          <w:i/>
          <w:u w:val="single"/>
        </w:rPr>
        <w:t xml:space="preserve"> No.</w:t>
      </w:r>
      <w:r w:rsidR="004460C7" w:rsidRPr="00F15420">
        <w:rPr>
          <w:b/>
          <w:bCs/>
          <w:i/>
          <w:iCs/>
          <w:u w:val="single"/>
        </w:rPr>
        <w:t xml:space="preserve"> </w:t>
      </w:r>
      <w:r>
        <w:rPr>
          <w:b/>
          <w:bCs/>
          <w:i/>
          <w:u w:val="single"/>
        </w:rPr>
        <w:t>2BE–GEO1015 and</w:t>
      </w:r>
      <w:r w:rsidR="004460C7" w:rsidRPr="00F15420">
        <w:rPr>
          <w:b/>
          <w:bCs/>
          <w:i/>
          <w:u w:val="single"/>
        </w:rPr>
        <w:t xml:space="preserve"> 2BE-GOO1015, Type “B”,</w:t>
      </w:r>
      <w:r w:rsidR="004460C7" w:rsidRPr="00F15420">
        <w:rPr>
          <w:b/>
          <w:i/>
          <w:u w:val="single"/>
        </w:rPr>
        <w:t xml:space="preserve"> Sabina Gold and Silver Corp.;</w:t>
      </w:r>
    </w:p>
    <w:p w:rsidR="004460C7" w:rsidRPr="00F15420" w:rsidRDefault="004460C7" w:rsidP="000D19CB">
      <w:pPr>
        <w:ind w:left="720"/>
        <w:jc w:val="left"/>
        <w:rPr>
          <w:b/>
          <w:bCs/>
          <w:i/>
          <w:u w:val="single"/>
        </w:rPr>
      </w:pPr>
      <w:r w:rsidRPr="00F15420">
        <w:rPr>
          <w:b/>
          <w:bCs/>
          <w:i/>
          <w:u w:val="single"/>
        </w:rPr>
        <w:t>Request to Carry</w:t>
      </w:r>
      <w:r w:rsidR="00E95BD3">
        <w:rPr>
          <w:b/>
          <w:bCs/>
          <w:i/>
          <w:u w:val="single"/>
        </w:rPr>
        <w:t xml:space="preserve"> </w:t>
      </w:r>
      <w:r w:rsidRPr="00F15420">
        <w:rPr>
          <w:b/>
          <w:bCs/>
          <w:i/>
          <w:u w:val="single"/>
        </w:rPr>
        <w:t>out Open Burning of Acceptable Materials.</w:t>
      </w:r>
      <w:r w:rsidR="007F0FEB" w:rsidRPr="00F15420">
        <w:rPr>
          <w:b/>
          <w:bCs/>
          <w:i/>
          <w:u w:val="single"/>
        </w:rPr>
        <w:fldChar w:fldCharType="begin"/>
      </w:r>
      <w:r w:rsidRPr="00F15420">
        <w:rPr>
          <w:b/>
          <w:bCs/>
          <w:i/>
          <w:u w:val="single"/>
        </w:rPr>
        <w:instrText xml:space="preserve"> ASK PERMITNUMBER "PERMIT NUMBER ?:" </w:instrText>
      </w:r>
      <w:r w:rsidR="007F0FEB" w:rsidRPr="00F15420">
        <w:rPr>
          <w:b/>
          <w:bCs/>
          <w:i/>
          <w:u w:val="single"/>
        </w:rPr>
        <w:fldChar w:fldCharType="separate"/>
      </w:r>
      <w:bookmarkStart w:id="1" w:name="PERMITNUMBER"/>
      <w:r w:rsidRPr="00F15420">
        <w:rPr>
          <w:b/>
          <w:bCs/>
          <w:i/>
          <w:u w:val="single"/>
        </w:rPr>
        <w:t>NWB2MEL0103</w:t>
      </w:r>
      <w:bookmarkEnd w:id="1"/>
      <w:r w:rsidR="007F0FEB" w:rsidRPr="00F15420">
        <w:rPr>
          <w:b/>
          <w:bCs/>
          <w:i/>
          <w:u w:val="single"/>
        </w:rPr>
        <w:fldChar w:fldCharType="end"/>
      </w:r>
    </w:p>
    <w:p w:rsidR="004460C7" w:rsidRPr="00F15420" w:rsidRDefault="004460C7" w:rsidP="004460C7">
      <w:pPr>
        <w:rPr>
          <w:b/>
          <w:u w:val="single"/>
        </w:rPr>
      </w:pPr>
    </w:p>
    <w:p w:rsidR="004460C7" w:rsidRPr="00F15420" w:rsidRDefault="004460C7" w:rsidP="004460C7"/>
    <w:p w:rsidR="004460C7" w:rsidRPr="00F15420" w:rsidRDefault="004460C7" w:rsidP="004460C7">
      <w:r w:rsidRPr="00F15420">
        <w:t>Dear Mr. Laitin:</w:t>
      </w:r>
    </w:p>
    <w:p w:rsidR="004460C7" w:rsidRPr="00F15420" w:rsidRDefault="004460C7" w:rsidP="004460C7"/>
    <w:p w:rsidR="004460C7" w:rsidRPr="004571CF" w:rsidRDefault="004460C7" w:rsidP="004460C7">
      <w:pPr>
        <w:pStyle w:val="TOC1"/>
        <w:rPr>
          <w:sz w:val="24"/>
          <w:szCs w:val="24"/>
        </w:rPr>
      </w:pPr>
      <w:r w:rsidRPr="00F15420">
        <w:rPr>
          <w:sz w:val="24"/>
          <w:szCs w:val="24"/>
        </w:rPr>
        <w:t xml:space="preserve">The Nunavut Water Board (“NWB”) received on </w:t>
      </w:r>
      <w:r w:rsidR="00DB2510">
        <w:rPr>
          <w:sz w:val="24"/>
          <w:szCs w:val="24"/>
        </w:rPr>
        <w:t>March 2</w:t>
      </w:r>
      <w:r w:rsidRPr="00F15420">
        <w:rPr>
          <w:sz w:val="24"/>
          <w:szCs w:val="24"/>
        </w:rPr>
        <w:t>, 201</w:t>
      </w:r>
      <w:r w:rsidR="00DB2510">
        <w:rPr>
          <w:sz w:val="24"/>
          <w:szCs w:val="24"/>
        </w:rPr>
        <w:t>2</w:t>
      </w:r>
      <w:r w:rsidR="00713CEA">
        <w:rPr>
          <w:sz w:val="24"/>
          <w:szCs w:val="24"/>
        </w:rPr>
        <w:t>,</w:t>
      </w:r>
      <w:r w:rsidR="00F15420">
        <w:rPr>
          <w:sz w:val="24"/>
          <w:szCs w:val="24"/>
        </w:rPr>
        <w:t xml:space="preserve"> </w:t>
      </w:r>
      <w:r w:rsidRPr="00F15420">
        <w:rPr>
          <w:sz w:val="24"/>
          <w:szCs w:val="24"/>
        </w:rPr>
        <w:t xml:space="preserve"> request from Sabina Gold &amp; Silver Corp. to burn, without the use of an incinerator, acceptable materials in accordance with established guidelines</w:t>
      </w:r>
      <w:r w:rsidRPr="00F15420">
        <w:rPr>
          <w:rStyle w:val="FootnoteReference"/>
          <w:sz w:val="24"/>
          <w:szCs w:val="24"/>
          <w:vertAlign w:val="superscript"/>
        </w:rPr>
        <w:footnoteReference w:id="1"/>
      </w:r>
      <w:r w:rsidRPr="00F15420">
        <w:rPr>
          <w:sz w:val="24"/>
          <w:szCs w:val="24"/>
          <w:vertAlign w:val="superscript"/>
        </w:rPr>
        <w:t xml:space="preserve">, </w:t>
      </w:r>
      <w:r w:rsidRPr="00F15420">
        <w:rPr>
          <w:rStyle w:val="FootnoteReference"/>
          <w:sz w:val="24"/>
          <w:szCs w:val="24"/>
          <w:vertAlign w:val="superscript"/>
        </w:rPr>
        <w:footnoteReference w:id="2"/>
      </w:r>
      <w:r w:rsidRPr="00F15420">
        <w:rPr>
          <w:sz w:val="24"/>
          <w:szCs w:val="24"/>
          <w:vertAlign w:val="superscript"/>
        </w:rPr>
        <w:t xml:space="preserve">, </w:t>
      </w:r>
      <w:r w:rsidRPr="00F15420">
        <w:rPr>
          <w:rStyle w:val="FootnoteReference"/>
          <w:sz w:val="24"/>
          <w:szCs w:val="24"/>
          <w:vertAlign w:val="superscript"/>
        </w:rPr>
        <w:footnoteReference w:id="3"/>
      </w:r>
      <w:r w:rsidRPr="00F15420">
        <w:rPr>
          <w:sz w:val="24"/>
          <w:szCs w:val="24"/>
          <w:vertAlign w:val="superscript"/>
        </w:rPr>
        <w:t xml:space="preserve">, </w:t>
      </w:r>
      <w:r w:rsidRPr="00F15420">
        <w:rPr>
          <w:rStyle w:val="FootnoteReference"/>
          <w:sz w:val="24"/>
          <w:szCs w:val="24"/>
          <w:vertAlign w:val="superscript"/>
        </w:rPr>
        <w:footnoteReference w:id="4"/>
      </w:r>
      <w:r w:rsidRPr="00F15420">
        <w:rPr>
          <w:sz w:val="24"/>
          <w:szCs w:val="24"/>
          <w:vertAlign w:val="superscript"/>
        </w:rPr>
        <w:t xml:space="preserve">. </w:t>
      </w:r>
      <w:r w:rsidRPr="00F15420">
        <w:rPr>
          <w:sz w:val="24"/>
          <w:szCs w:val="24"/>
        </w:rPr>
        <w:t xml:space="preserve"> which apply to open burning in Nunavut</w:t>
      </w:r>
      <w:r w:rsidR="00F15420" w:rsidRPr="00F15420">
        <w:rPr>
          <w:sz w:val="24"/>
          <w:szCs w:val="24"/>
        </w:rPr>
        <w:t>.</w:t>
      </w:r>
      <w:r w:rsidRPr="00F15420">
        <w:rPr>
          <w:sz w:val="24"/>
          <w:szCs w:val="24"/>
        </w:rPr>
        <w:t xml:space="preserve">  On </w:t>
      </w:r>
      <w:r w:rsidR="00DB2510">
        <w:rPr>
          <w:sz w:val="24"/>
          <w:szCs w:val="24"/>
        </w:rPr>
        <w:t>March 12, 2012,</w:t>
      </w:r>
      <w:r w:rsidRPr="00F15420">
        <w:rPr>
          <w:sz w:val="24"/>
          <w:szCs w:val="24"/>
        </w:rPr>
        <w:t xml:space="preserve"> the NWB acknowledged receipt and distribute</w:t>
      </w:r>
      <w:r w:rsidR="00EE59B6">
        <w:rPr>
          <w:sz w:val="24"/>
          <w:szCs w:val="24"/>
        </w:rPr>
        <w:t>d</w:t>
      </w:r>
      <w:r w:rsidRPr="00F15420">
        <w:rPr>
          <w:sz w:val="24"/>
          <w:szCs w:val="24"/>
        </w:rPr>
        <w:t xml:space="preserve"> the request to interested persons and parties for a thirty (30) day review period.  Comments were received from </w:t>
      </w:r>
      <w:r w:rsidR="00DB2510">
        <w:rPr>
          <w:sz w:val="24"/>
          <w:szCs w:val="24"/>
        </w:rPr>
        <w:t>Aboriginal Affairs and Northern Development Canada (AANDC)</w:t>
      </w:r>
      <w:r w:rsidR="009A711C">
        <w:rPr>
          <w:sz w:val="24"/>
          <w:szCs w:val="24"/>
        </w:rPr>
        <w:t xml:space="preserve"> </w:t>
      </w:r>
      <w:r w:rsidR="00EB3D7A">
        <w:rPr>
          <w:sz w:val="24"/>
          <w:szCs w:val="24"/>
        </w:rPr>
        <w:t>and Kitikmeot Inuit Association (</w:t>
      </w:r>
      <w:r w:rsidRPr="00F15420">
        <w:rPr>
          <w:sz w:val="24"/>
          <w:szCs w:val="24"/>
        </w:rPr>
        <w:t>KIA</w:t>
      </w:r>
      <w:r w:rsidR="00EB3D7A">
        <w:rPr>
          <w:sz w:val="24"/>
          <w:szCs w:val="24"/>
        </w:rPr>
        <w:t>)</w:t>
      </w:r>
      <w:r w:rsidR="009A711C">
        <w:rPr>
          <w:sz w:val="24"/>
          <w:szCs w:val="24"/>
        </w:rPr>
        <w:t xml:space="preserve"> on April 11, 2012, and from</w:t>
      </w:r>
      <w:r w:rsidR="009A711C" w:rsidRPr="009A711C">
        <w:rPr>
          <w:sz w:val="24"/>
          <w:szCs w:val="24"/>
        </w:rPr>
        <w:t xml:space="preserve"> Environment Canada (EC)</w:t>
      </w:r>
      <w:r w:rsidR="00392F66">
        <w:rPr>
          <w:sz w:val="24"/>
          <w:szCs w:val="24"/>
        </w:rPr>
        <w:t xml:space="preserve"> on April 12, 2012.</w:t>
      </w:r>
    </w:p>
    <w:p w:rsidR="004460C7" w:rsidRPr="004571CF" w:rsidRDefault="004460C7" w:rsidP="004460C7">
      <w:pPr>
        <w:pStyle w:val="TOC1"/>
        <w:rPr>
          <w:sz w:val="24"/>
          <w:szCs w:val="24"/>
        </w:rPr>
      </w:pPr>
    </w:p>
    <w:p w:rsidR="004460C7" w:rsidRDefault="004460C7" w:rsidP="004460C7">
      <w:pPr>
        <w:pStyle w:val="TOC1"/>
        <w:rPr>
          <w:color w:val="000000"/>
          <w:sz w:val="24"/>
          <w:szCs w:val="24"/>
        </w:rPr>
      </w:pPr>
      <w:r w:rsidRPr="00A1162E">
        <w:rPr>
          <w:sz w:val="24"/>
          <w:szCs w:val="24"/>
        </w:rPr>
        <w:t>Upon review of the request, supporting documentation, terms and co</w:t>
      </w:r>
      <w:r w:rsidR="000D19CB" w:rsidRPr="00A1162E">
        <w:rPr>
          <w:sz w:val="24"/>
          <w:szCs w:val="24"/>
        </w:rPr>
        <w:t xml:space="preserve">nditions in Licenses No. </w:t>
      </w:r>
      <w:r w:rsidR="00DB2510" w:rsidRPr="00A1162E">
        <w:rPr>
          <w:sz w:val="24"/>
          <w:szCs w:val="24"/>
        </w:rPr>
        <w:t>2BE-GEO1015 and</w:t>
      </w:r>
      <w:r w:rsidRPr="00A1162E">
        <w:rPr>
          <w:sz w:val="24"/>
          <w:szCs w:val="24"/>
        </w:rPr>
        <w:t xml:space="preserve"> 2BE-GOO1015, and submissions from interested persons and/or parties, the NWB is satisfied that the activity, as proposed by the Licensee, would not directly or indirectly impact surface </w:t>
      </w:r>
      <w:r w:rsidR="00F15420" w:rsidRPr="00A1162E">
        <w:rPr>
          <w:sz w:val="24"/>
          <w:szCs w:val="24"/>
        </w:rPr>
        <w:t>and ground</w:t>
      </w:r>
      <w:r w:rsidRPr="00A1162E">
        <w:rPr>
          <w:sz w:val="24"/>
          <w:szCs w:val="24"/>
        </w:rPr>
        <w:t xml:space="preserve">water, which is a requirement under Section 12.1(a), (b) of </w:t>
      </w:r>
      <w:r w:rsidRPr="00A1162E">
        <w:rPr>
          <w:i/>
          <w:sz w:val="24"/>
          <w:szCs w:val="24"/>
        </w:rPr>
        <w:t>the Nunavut Waters and Nunavut Surface Rights Tribunal Act</w:t>
      </w:r>
      <w:r w:rsidRPr="00A1162E">
        <w:rPr>
          <w:sz w:val="24"/>
          <w:szCs w:val="24"/>
        </w:rPr>
        <w:t>,</w:t>
      </w:r>
      <w:r w:rsidRPr="00A1162E">
        <w:rPr>
          <w:i/>
          <w:sz w:val="24"/>
          <w:szCs w:val="24"/>
        </w:rPr>
        <w:t xml:space="preserve"> </w:t>
      </w:r>
      <w:r w:rsidRPr="00A1162E">
        <w:rPr>
          <w:sz w:val="24"/>
          <w:szCs w:val="24"/>
        </w:rPr>
        <w:t>and maintain its obligations to adhere to the terms and condit</w:t>
      </w:r>
      <w:r w:rsidR="00EB3D7A" w:rsidRPr="00A1162E">
        <w:rPr>
          <w:sz w:val="24"/>
          <w:szCs w:val="24"/>
        </w:rPr>
        <w:t>ions in licence.  In addition,</w:t>
      </w:r>
      <w:r w:rsidRPr="00A1162E">
        <w:rPr>
          <w:sz w:val="24"/>
          <w:szCs w:val="24"/>
        </w:rPr>
        <w:t xml:space="preserve"> the Government of Nunavut Department of Environment</w:t>
      </w:r>
      <w:r w:rsidR="00EB3D7A" w:rsidRPr="00A1162E">
        <w:rPr>
          <w:sz w:val="24"/>
          <w:szCs w:val="24"/>
        </w:rPr>
        <w:t xml:space="preserve"> (GN-DOE)</w:t>
      </w:r>
      <w:r w:rsidRPr="00A1162E">
        <w:rPr>
          <w:sz w:val="24"/>
          <w:szCs w:val="24"/>
        </w:rPr>
        <w:t xml:space="preserve"> established policy on open burning, the NWB has included as Appendix A, a summary of additional practices for carrying out the activity.  The NWB has, therefore, approved the request</w:t>
      </w:r>
      <w:r w:rsidR="00F15420" w:rsidRPr="00A1162E">
        <w:rPr>
          <w:sz w:val="24"/>
          <w:szCs w:val="24"/>
        </w:rPr>
        <w:t xml:space="preserve"> under motion No. 201</w:t>
      </w:r>
      <w:r w:rsidR="00DB2510" w:rsidRPr="00A1162E">
        <w:rPr>
          <w:sz w:val="24"/>
          <w:szCs w:val="24"/>
        </w:rPr>
        <w:t>2</w:t>
      </w:r>
      <w:r w:rsidR="00A1162E" w:rsidRPr="00A1162E">
        <w:rPr>
          <w:sz w:val="24"/>
          <w:szCs w:val="24"/>
        </w:rPr>
        <w:t>-00-L04 and 2012-00-L05</w:t>
      </w:r>
      <w:r w:rsidR="00F15420" w:rsidRPr="00A1162E">
        <w:rPr>
          <w:sz w:val="24"/>
          <w:szCs w:val="24"/>
        </w:rPr>
        <w:t xml:space="preserve">, </w:t>
      </w:r>
      <w:r w:rsidR="00F15420" w:rsidRPr="00A1162E">
        <w:rPr>
          <w:sz w:val="24"/>
          <w:szCs w:val="24"/>
        </w:rPr>
        <w:lastRenderedPageBreak/>
        <w:t xml:space="preserve">dated </w:t>
      </w:r>
      <w:r w:rsidR="00DB2510" w:rsidRPr="00A1162E">
        <w:rPr>
          <w:sz w:val="24"/>
          <w:szCs w:val="24"/>
        </w:rPr>
        <w:t>April</w:t>
      </w:r>
      <w:r w:rsidR="00A1162E" w:rsidRPr="00A1162E">
        <w:rPr>
          <w:sz w:val="24"/>
          <w:szCs w:val="24"/>
        </w:rPr>
        <w:t xml:space="preserve"> 30</w:t>
      </w:r>
      <w:r w:rsidR="00F15420" w:rsidRPr="00A1162E">
        <w:rPr>
          <w:sz w:val="24"/>
          <w:szCs w:val="24"/>
        </w:rPr>
        <w:t>, 201</w:t>
      </w:r>
      <w:r w:rsidR="00DB2510" w:rsidRPr="00A1162E">
        <w:rPr>
          <w:sz w:val="24"/>
          <w:szCs w:val="24"/>
        </w:rPr>
        <w:t>2</w:t>
      </w:r>
      <w:r w:rsidR="00F15420" w:rsidRPr="00A1162E">
        <w:rPr>
          <w:sz w:val="24"/>
          <w:szCs w:val="24"/>
        </w:rPr>
        <w:t>.</w:t>
      </w:r>
    </w:p>
    <w:p w:rsidR="004460C7" w:rsidRDefault="004460C7" w:rsidP="004460C7">
      <w:pPr>
        <w:pStyle w:val="TOC1"/>
        <w:rPr>
          <w:sz w:val="24"/>
          <w:szCs w:val="24"/>
        </w:rPr>
      </w:pPr>
    </w:p>
    <w:p w:rsidR="004460C7" w:rsidRDefault="004460C7" w:rsidP="004460C7">
      <w:pPr>
        <w:pStyle w:val="TOC1"/>
        <w:rPr>
          <w:sz w:val="24"/>
          <w:szCs w:val="24"/>
        </w:rPr>
      </w:pPr>
      <w:r>
        <w:rPr>
          <w:sz w:val="24"/>
          <w:szCs w:val="24"/>
        </w:rPr>
        <w:t>The Licensee is advised of its obligations to comply with all of the terms and conditions in its licence as well as all applicable regulations.</w:t>
      </w:r>
    </w:p>
    <w:p w:rsidR="004460C7" w:rsidRDefault="004460C7" w:rsidP="004460C7"/>
    <w:bookmarkEnd w:id="0"/>
    <w:p w:rsidR="004460C7" w:rsidRPr="004571CF" w:rsidRDefault="004460C7" w:rsidP="004460C7">
      <w:pPr>
        <w:ind w:right="-30"/>
        <w:outlineLvl w:val="0"/>
      </w:pPr>
      <w:r w:rsidRPr="004571CF">
        <w:t xml:space="preserve">Should you have any questions, please feel free to contact the undersigned at 867-360-6338 ext. </w:t>
      </w:r>
      <w:r w:rsidR="00F15420">
        <w:t>30</w:t>
      </w:r>
      <w:r w:rsidRPr="004571CF">
        <w:t xml:space="preserve"> or by email at </w:t>
      </w:r>
      <w:hyperlink r:id="rId10" w:history="1">
        <w:r w:rsidR="00F15420" w:rsidRPr="007416D1">
          <w:rPr>
            <w:rStyle w:val="Hyperlink"/>
          </w:rPr>
          <w:t>k.kharatyan@nunavutwaterboard.org</w:t>
        </w:r>
      </w:hyperlink>
      <w:r w:rsidR="00F15420">
        <w:t>, at your earliest convenience</w:t>
      </w:r>
      <w:r w:rsidRPr="004571CF">
        <w:t>.</w:t>
      </w:r>
    </w:p>
    <w:p w:rsidR="004460C7" w:rsidRPr="004571CF" w:rsidRDefault="004460C7" w:rsidP="004460C7">
      <w:pPr>
        <w:ind w:right="-30"/>
      </w:pPr>
    </w:p>
    <w:p w:rsidR="004460C7" w:rsidRPr="004571CF" w:rsidRDefault="004460C7" w:rsidP="004460C7">
      <w:pPr>
        <w:ind w:right="-30"/>
      </w:pPr>
      <w:r w:rsidRPr="004571CF">
        <w:t>Yours truly,</w:t>
      </w:r>
      <w:r>
        <w:t xml:space="preserve"> </w:t>
      </w:r>
    </w:p>
    <w:p w:rsidR="004460C7" w:rsidRPr="004571CF" w:rsidRDefault="004460C7" w:rsidP="004460C7">
      <w:pPr>
        <w:ind w:right="-30"/>
      </w:pPr>
    </w:p>
    <w:p w:rsidR="004460C7" w:rsidRDefault="00580415" w:rsidP="004460C7">
      <w:pPr>
        <w:ind w:right="-30"/>
      </w:pPr>
      <w:r>
        <w:t>Original signed by:</w:t>
      </w:r>
      <w:bookmarkStart w:id="2" w:name="_GoBack"/>
      <w:bookmarkEnd w:id="2"/>
    </w:p>
    <w:p w:rsidR="006828AB" w:rsidRPr="004571CF" w:rsidRDefault="006828AB" w:rsidP="004460C7">
      <w:pPr>
        <w:ind w:right="-30"/>
      </w:pPr>
    </w:p>
    <w:p w:rsidR="004460C7" w:rsidRPr="003F2130" w:rsidRDefault="00F15420" w:rsidP="004460C7">
      <w:pPr>
        <w:ind w:right="-30"/>
        <w:outlineLvl w:val="0"/>
      </w:pPr>
      <w:r w:rsidRPr="003F2130">
        <w:t>Karén Kharatyan</w:t>
      </w:r>
    </w:p>
    <w:p w:rsidR="004460C7" w:rsidRDefault="004460C7" w:rsidP="004460C7">
      <w:pPr>
        <w:ind w:right="-30"/>
        <w:outlineLvl w:val="0"/>
      </w:pPr>
      <w:r w:rsidRPr="003F2130">
        <w:t>Technical Advisor</w:t>
      </w:r>
    </w:p>
    <w:p w:rsidR="00713CEA" w:rsidRPr="004571CF" w:rsidRDefault="00713CEA" w:rsidP="004460C7">
      <w:pPr>
        <w:ind w:right="-30"/>
        <w:outlineLvl w:val="0"/>
      </w:pPr>
    </w:p>
    <w:p w:rsidR="004460C7" w:rsidRDefault="004460C7" w:rsidP="00713CEA">
      <w:pPr>
        <w:pStyle w:val="NWB2BodyText"/>
        <w:tabs>
          <w:tab w:val="clear" w:pos="0"/>
          <w:tab w:val="clear" w:pos="720"/>
        </w:tabs>
      </w:pPr>
      <w:r>
        <w:t>C</w:t>
      </w:r>
      <w:r w:rsidRPr="004571CF">
        <w:t>c:</w:t>
      </w:r>
      <w:r>
        <w:t xml:space="preserve">  </w:t>
      </w:r>
      <w:r w:rsidRPr="004571CF">
        <w:t xml:space="preserve">Distribution List – </w:t>
      </w:r>
      <w:r w:rsidR="00713CEA">
        <w:t>Kitikmeot</w:t>
      </w:r>
      <w:r>
        <w:t xml:space="preserve"> </w:t>
      </w:r>
    </w:p>
    <w:p w:rsidR="00EE59B6" w:rsidRDefault="00EE59B6">
      <w:pPr>
        <w:widowControl/>
        <w:autoSpaceDE/>
        <w:autoSpaceDN/>
        <w:adjustRightInd/>
        <w:spacing w:after="200" w:line="276" w:lineRule="auto"/>
        <w:jc w:val="left"/>
        <w:rPr>
          <w:bCs/>
        </w:rPr>
      </w:pPr>
      <w:r>
        <w:br w:type="page"/>
      </w:r>
    </w:p>
    <w:p w:rsidR="004460C7" w:rsidRDefault="004460C7" w:rsidP="004460C7">
      <w:pPr>
        <w:widowControl/>
        <w:ind w:left="720" w:hanging="720"/>
        <w:jc w:val="center"/>
        <w:rPr>
          <w:b/>
          <w:bCs/>
          <w:color w:val="000000"/>
          <w:sz w:val="23"/>
          <w:szCs w:val="23"/>
        </w:rPr>
      </w:pPr>
      <w:r w:rsidRPr="00D6281C">
        <w:rPr>
          <w:b/>
          <w:bCs/>
          <w:color w:val="000000"/>
          <w:sz w:val="23"/>
          <w:szCs w:val="23"/>
        </w:rPr>
        <w:lastRenderedPageBreak/>
        <w:t xml:space="preserve">APPENDIX </w:t>
      </w:r>
      <w:proofErr w:type="gramStart"/>
      <w:r w:rsidRPr="00D6281C">
        <w:rPr>
          <w:b/>
          <w:bCs/>
          <w:color w:val="000000"/>
          <w:sz w:val="23"/>
          <w:szCs w:val="23"/>
        </w:rPr>
        <w:t>A</w:t>
      </w:r>
      <w:proofErr w:type="gramEnd"/>
      <w:r w:rsidRPr="00D6281C">
        <w:rPr>
          <w:b/>
          <w:bCs/>
          <w:color w:val="000000"/>
          <w:sz w:val="23"/>
          <w:szCs w:val="23"/>
        </w:rPr>
        <w:t xml:space="preserve"> – PRACTICES FOR OPEN BURNING</w:t>
      </w:r>
    </w:p>
    <w:p w:rsidR="006828AB" w:rsidRDefault="006828AB" w:rsidP="004460C7">
      <w:pPr>
        <w:widowControl/>
        <w:ind w:left="720" w:hanging="720"/>
        <w:jc w:val="center"/>
        <w:rPr>
          <w:b/>
          <w:bCs/>
          <w:color w:val="000000"/>
          <w:sz w:val="23"/>
          <w:szCs w:val="23"/>
        </w:rPr>
      </w:pPr>
    </w:p>
    <w:p w:rsidR="003F2130" w:rsidRDefault="003F2130" w:rsidP="004460C7">
      <w:pPr>
        <w:widowControl/>
        <w:ind w:left="720" w:hanging="720"/>
        <w:jc w:val="center"/>
        <w:rPr>
          <w:b/>
          <w:bCs/>
          <w:color w:val="000000"/>
          <w:sz w:val="23"/>
          <w:szCs w:val="23"/>
        </w:rPr>
      </w:pPr>
    </w:p>
    <w:p w:rsidR="004460C7" w:rsidRDefault="006828AB" w:rsidP="004460C7">
      <w:pPr>
        <w:widowControl/>
        <w:rPr>
          <w:color w:val="000000"/>
        </w:rPr>
      </w:pPr>
      <w:r>
        <w:rPr>
          <w:color w:val="000000"/>
        </w:rPr>
        <w:t>T</w:t>
      </w:r>
      <w:r w:rsidR="004460C7" w:rsidRPr="00D6281C">
        <w:rPr>
          <w:color w:val="000000"/>
        </w:rPr>
        <w:t xml:space="preserve">he NWB highlights several key items of this approval for carrying out of the activities, which include: </w:t>
      </w:r>
    </w:p>
    <w:p w:rsidR="004460C7" w:rsidRPr="00D6281C" w:rsidRDefault="004460C7" w:rsidP="004460C7">
      <w:pPr>
        <w:widowControl/>
        <w:rPr>
          <w:color w:val="000000"/>
        </w:rPr>
      </w:pPr>
    </w:p>
    <w:p w:rsidR="004460C7" w:rsidRDefault="004460C7" w:rsidP="004460C7">
      <w:pPr>
        <w:widowControl/>
        <w:numPr>
          <w:ilvl w:val="0"/>
          <w:numId w:val="2"/>
        </w:numPr>
        <w:rPr>
          <w:color w:val="000000"/>
        </w:rPr>
      </w:pPr>
      <w:r w:rsidRPr="00D6281C">
        <w:rPr>
          <w:color w:val="000000"/>
        </w:rPr>
        <w:t xml:space="preserve">The Licensee follow the Government of Nunavut’s policy on the open burning of segregated wastes, and shall not allow the open burning of plastics, wood treated with preservatives, electrical wire, Styrofoam, asbestos or painted wood; </w:t>
      </w:r>
    </w:p>
    <w:p w:rsidR="006828AB" w:rsidRPr="00D6281C" w:rsidRDefault="006828AB" w:rsidP="006828AB">
      <w:pPr>
        <w:widowControl/>
        <w:ind w:left="720"/>
        <w:rPr>
          <w:color w:val="000000"/>
        </w:rPr>
      </w:pPr>
    </w:p>
    <w:p w:rsidR="004460C7" w:rsidRDefault="004460C7" w:rsidP="003F2130">
      <w:pPr>
        <w:widowControl/>
        <w:numPr>
          <w:ilvl w:val="0"/>
          <w:numId w:val="2"/>
        </w:numPr>
        <w:rPr>
          <w:color w:val="000000"/>
        </w:rPr>
      </w:pPr>
      <w:r w:rsidRPr="00D6281C">
        <w:rPr>
          <w:color w:val="000000"/>
        </w:rPr>
        <w:t xml:space="preserve">Solid wastes that are conditionally suitable for open burning are paper products, paperboard packaging </w:t>
      </w:r>
      <w:r w:rsidR="006828AB">
        <w:rPr>
          <w:color w:val="000000"/>
        </w:rPr>
        <w:t>and untreated wood wastes only;</w:t>
      </w:r>
    </w:p>
    <w:p w:rsidR="006828AB" w:rsidRPr="00326581" w:rsidRDefault="006828AB" w:rsidP="006828AB">
      <w:pPr>
        <w:widowControl/>
        <w:rPr>
          <w:color w:val="000000"/>
        </w:rPr>
      </w:pPr>
    </w:p>
    <w:p w:rsidR="004460C7" w:rsidRDefault="004460C7" w:rsidP="004460C7">
      <w:pPr>
        <w:widowControl/>
        <w:numPr>
          <w:ilvl w:val="0"/>
          <w:numId w:val="2"/>
        </w:numPr>
        <w:rPr>
          <w:color w:val="000000"/>
        </w:rPr>
      </w:pPr>
      <w:r w:rsidRPr="00D6281C">
        <w:rPr>
          <w:color w:val="000000"/>
        </w:rPr>
        <w:t xml:space="preserve">Wood and other acceptable products will be kept as dry as possible before and during burning; </w:t>
      </w:r>
    </w:p>
    <w:p w:rsidR="006828AB" w:rsidRDefault="006828AB" w:rsidP="006828AB">
      <w:pPr>
        <w:widowControl/>
        <w:ind w:left="720"/>
        <w:rPr>
          <w:color w:val="000000"/>
        </w:rPr>
      </w:pPr>
    </w:p>
    <w:p w:rsidR="004460C7" w:rsidRDefault="004460C7" w:rsidP="004460C7">
      <w:pPr>
        <w:widowControl/>
        <w:numPr>
          <w:ilvl w:val="0"/>
          <w:numId w:val="2"/>
        </w:numPr>
        <w:rPr>
          <w:color w:val="000000"/>
        </w:rPr>
      </w:pPr>
      <w:r w:rsidRPr="00D6281C">
        <w:rPr>
          <w:color w:val="000000"/>
        </w:rPr>
        <w:t>The size of the burn pile will be minimized, and a “</w:t>
      </w:r>
      <w:r w:rsidRPr="006828AB">
        <w:rPr>
          <w:b/>
          <w:color w:val="000000"/>
        </w:rPr>
        <w:t>hot burn</w:t>
      </w:r>
      <w:r w:rsidRPr="00D6281C">
        <w:rPr>
          <w:color w:val="000000"/>
        </w:rPr>
        <w:t xml:space="preserve">” maintained to create an efficient burn using consistent/constant feed rates to avoid over-feeding and damping the fire; </w:t>
      </w:r>
    </w:p>
    <w:p w:rsidR="006828AB" w:rsidRDefault="006828AB" w:rsidP="006828AB">
      <w:pPr>
        <w:widowControl/>
        <w:rPr>
          <w:color w:val="000000"/>
        </w:rPr>
      </w:pPr>
    </w:p>
    <w:p w:rsidR="004460C7" w:rsidRDefault="004460C7" w:rsidP="004460C7">
      <w:pPr>
        <w:widowControl/>
        <w:numPr>
          <w:ilvl w:val="0"/>
          <w:numId w:val="2"/>
        </w:numPr>
        <w:rPr>
          <w:color w:val="000000"/>
        </w:rPr>
      </w:pPr>
      <w:r w:rsidRPr="00D6281C">
        <w:rPr>
          <w:color w:val="000000"/>
        </w:rPr>
        <w:t>Burning will only be undertaken during favorable weather conditions (i</w:t>
      </w:r>
      <w:r w:rsidR="006828AB">
        <w:rPr>
          <w:color w:val="000000"/>
        </w:rPr>
        <w:t>.</w:t>
      </w:r>
      <w:r w:rsidRPr="00D6281C">
        <w:rPr>
          <w:color w:val="000000"/>
        </w:rPr>
        <w:t>e</w:t>
      </w:r>
      <w:r w:rsidR="006828AB">
        <w:rPr>
          <w:color w:val="000000"/>
        </w:rPr>
        <w:t>.</w:t>
      </w:r>
      <w:r w:rsidRPr="00D6281C">
        <w:rPr>
          <w:color w:val="000000"/>
        </w:rPr>
        <w:t xml:space="preserve"> will not be undertaken during periods of extreme wind or during wet rain conditions); </w:t>
      </w:r>
    </w:p>
    <w:p w:rsidR="006828AB" w:rsidRDefault="006828AB" w:rsidP="006828AB">
      <w:pPr>
        <w:widowControl/>
        <w:rPr>
          <w:color w:val="000000"/>
        </w:rPr>
      </w:pPr>
    </w:p>
    <w:p w:rsidR="004460C7" w:rsidRPr="006828AB" w:rsidRDefault="004460C7" w:rsidP="006828AB">
      <w:pPr>
        <w:pStyle w:val="ListParagraph"/>
        <w:widowControl/>
        <w:numPr>
          <w:ilvl w:val="0"/>
          <w:numId w:val="2"/>
        </w:numPr>
        <w:rPr>
          <w:color w:val="000000"/>
        </w:rPr>
      </w:pPr>
      <w:r w:rsidRPr="006828AB">
        <w:rPr>
          <w:color w:val="000000"/>
        </w:rPr>
        <w:t xml:space="preserve">Fires will be completely extinguished to ensure that any smoldering of material does not persist; </w:t>
      </w:r>
    </w:p>
    <w:p w:rsidR="006828AB" w:rsidRPr="006828AB" w:rsidRDefault="006828AB" w:rsidP="006828AB">
      <w:pPr>
        <w:widowControl/>
        <w:rPr>
          <w:color w:val="000000"/>
        </w:rPr>
      </w:pPr>
    </w:p>
    <w:p w:rsidR="004460C7" w:rsidRPr="006828AB" w:rsidRDefault="004460C7" w:rsidP="006828AB">
      <w:pPr>
        <w:pStyle w:val="ListParagraph"/>
        <w:widowControl/>
        <w:numPr>
          <w:ilvl w:val="0"/>
          <w:numId w:val="2"/>
        </w:numPr>
        <w:rPr>
          <w:color w:val="000000"/>
        </w:rPr>
      </w:pPr>
      <w:r w:rsidRPr="006828AB">
        <w:rPr>
          <w:color w:val="000000"/>
        </w:rPr>
        <w:t xml:space="preserve">The Burn pits are to be located on appropriate surfaces (bedrock, gravel or sand) and in areas such that impacts to surface water and groundwater drainage do not occur; </w:t>
      </w:r>
    </w:p>
    <w:p w:rsidR="006828AB" w:rsidRPr="006828AB" w:rsidRDefault="006828AB" w:rsidP="006828AB">
      <w:pPr>
        <w:widowControl/>
        <w:rPr>
          <w:color w:val="000000"/>
        </w:rPr>
      </w:pPr>
    </w:p>
    <w:p w:rsidR="004460C7" w:rsidRPr="006828AB" w:rsidRDefault="004460C7" w:rsidP="006828AB">
      <w:pPr>
        <w:pStyle w:val="ListParagraph"/>
        <w:widowControl/>
        <w:numPr>
          <w:ilvl w:val="0"/>
          <w:numId w:val="2"/>
        </w:numPr>
        <w:rPr>
          <w:color w:val="000000"/>
        </w:rPr>
      </w:pPr>
      <w:r w:rsidRPr="006828AB">
        <w:rPr>
          <w:color w:val="000000"/>
        </w:rPr>
        <w:t xml:space="preserve">The Burn pits are constructed, operated and maintained so that any materials to be disposed of are contained during the process, including ashes; </w:t>
      </w:r>
    </w:p>
    <w:p w:rsidR="006828AB" w:rsidRPr="006828AB" w:rsidRDefault="006828AB" w:rsidP="006828AB">
      <w:pPr>
        <w:widowControl/>
        <w:rPr>
          <w:color w:val="000000"/>
        </w:rPr>
      </w:pPr>
    </w:p>
    <w:p w:rsidR="004460C7" w:rsidRPr="006828AB" w:rsidRDefault="004460C7" w:rsidP="006828AB">
      <w:pPr>
        <w:pStyle w:val="ListParagraph"/>
        <w:widowControl/>
        <w:numPr>
          <w:ilvl w:val="0"/>
          <w:numId w:val="2"/>
        </w:numPr>
        <w:rPr>
          <w:color w:val="000000"/>
        </w:rPr>
      </w:pPr>
      <w:r w:rsidRPr="006828AB">
        <w:rPr>
          <w:color w:val="000000"/>
        </w:rPr>
        <w:t xml:space="preserve">Any residual waste and ashes be collected and disposed of in an appropriate, approved facility; and </w:t>
      </w:r>
    </w:p>
    <w:p w:rsidR="006828AB" w:rsidRPr="006828AB" w:rsidRDefault="006828AB" w:rsidP="006828AB">
      <w:pPr>
        <w:widowControl/>
        <w:rPr>
          <w:color w:val="000000"/>
        </w:rPr>
      </w:pPr>
    </w:p>
    <w:p w:rsidR="004460C7" w:rsidRPr="00D6281C" w:rsidRDefault="004460C7" w:rsidP="004460C7">
      <w:pPr>
        <w:widowControl/>
        <w:ind w:left="720" w:hanging="360"/>
        <w:rPr>
          <w:color w:val="000000"/>
        </w:rPr>
      </w:pPr>
      <w:r>
        <w:rPr>
          <w:color w:val="000000"/>
        </w:rPr>
        <w:t>j.</w:t>
      </w:r>
      <w:r>
        <w:rPr>
          <w:color w:val="000000"/>
        </w:rPr>
        <w:tab/>
      </w:r>
      <w:r w:rsidRPr="00D6281C">
        <w:rPr>
          <w:color w:val="000000"/>
        </w:rPr>
        <w:t xml:space="preserve">Surface water runoff from the Burn pit areas shall be managed to prevent any direct or indirect flow into a water body and that no additional impacts to water are created. </w:t>
      </w:r>
    </w:p>
    <w:p w:rsidR="004460C7" w:rsidRPr="00D6281C" w:rsidRDefault="004460C7" w:rsidP="004460C7">
      <w:pPr>
        <w:pStyle w:val="NWB2BodyText"/>
        <w:tabs>
          <w:tab w:val="clear" w:pos="0"/>
          <w:tab w:val="clear" w:pos="720"/>
        </w:tabs>
        <w:ind w:left="720" w:hanging="720"/>
      </w:pPr>
    </w:p>
    <w:p w:rsidR="00CD446C" w:rsidRDefault="00CD446C"/>
    <w:sectPr w:rsidR="00CD446C" w:rsidSect="009A711C">
      <w:headerReference w:type="default" r:id="rId11"/>
      <w:footerReference w:type="default" r:id="rId12"/>
      <w:pgSz w:w="12240" w:h="15840" w:code="1"/>
      <w:pgMar w:top="1440" w:right="1440" w:bottom="1440" w:left="156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1C" w:rsidRDefault="009A711C" w:rsidP="004460C7">
      <w:r>
        <w:separator/>
      </w:r>
    </w:p>
  </w:endnote>
  <w:endnote w:type="continuationSeparator" w:id="0">
    <w:p w:rsidR="009A711C" w:rsidRDefault="009A711C" w:rsidP="0044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11C" w:rsidRPr="00DE688C" w:rsidRDefault="009A711C" w:rsidP="009A711C">
    <w:pPr>
      <w:pStyle w:val="Footer"/>
      <w:jc w:val="center"/>
    </w:pPr>
    <w:r w:rsidRPr="00DE688C">
      <w:rPr>
        <w:rStyle w:val="PageNumber"/>
      </w:rPr>
      <w:fldChar w:fldCharType="begin"/>
    </w:r>
    <w:r w:rsidRPr="00DE688C">
      <w:rPr>
        <w:rStyle w:val="PageNumber"/>
      </w:rPr>
      <w:instrText xml:space="preserve"> PAGE </w:instrText>
    </w:r>
    <w:r w:rsidRPr="00DE688C">
      <w:rPr>
        <w:rStyle w:val="PageNumber"/>
      </w:rPr>
      <w:fldChar w:fldCharType="separate"/>
    </w:r>
    <w:r w:rsidR="00580415">
      <w:rPr>
        <w:rStyle w:val="PageNumber"/>
        <w:noProof/>
      </w:rPr>
      <w:t>2</w:t>
    </w:r>
    <w:r w:rsidRPr="00DE688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1C" w:rsidRDefault="009A711C" w:rsidP="004460C7">
      <w:r>
        <w:separator/>
      </w:r>
    </w:p>
  </w:footnote>
  <w:footnote w:type="continuationSeparator" w:id="0">
    <w:p w:rsidR="009A711C" w:rsidRDefault="009A711C" w:rsidP="004460C7">
      <w:r>
        <w:continuationSeparator/>
      </w:r>
    </w:p>
  </w:footnote>
  <w:footnote w:id="1">
    <w:p w:rsidR="009A711C" w:rsidRPr="00480BBD" w:rsidRDefault="009A711C" w:rsidP="004460C7">
      <w:pPr>
        <w:pStyle w:val="FootnoteText"/>
        <w:ind w:left="180" w:hanging="180"/>
        <w:rPr>
          <w:sz w:val="18"/>
          <w:szCs w:val="18"/>
        </w:rPr>
      </w:pPr>
      <w:r w:rsidRPr="00480BBD">
        <w:rPr>
          <w:rStyle w:val="FootnoteReference"/>
          <w:color w:val="000000"/>
          <w:sz w:val="16"/>
          <w:szCs w:val="16"/>
        </w:rPr>
        <w:footnoteRef/>
      </w:r>
      <w:r w:rsidRPr="00480BBD">
        <w:rPr>
          <w:sz w:val="16"/>
          <w:szCs w:val="16"/>
        </w:rPr>
        <w:t xml:space="preserve"> </w:t>
      </w:r>
      <w:r w:rsidRPr="00480BBD">
        <w:rPr>
          <w:sz w:val="18"/>
          <w:szCs w:val="18"/>
        </w:rPr>
        <w:t xml:space="preserve">Guidelines for the Planning, Design, Operations and Maintenance of Modified Solid Waste Sites in the NWT, Ferguson </w:t>
      </w:r>
      <w:proofErr w:type="spellStart"/>
      <w:r w:rsidRPr="00480BBD">
        <w:rPr>
          <w:sz w:val="18"/>
          <w:szCs w:val="18"/>
        </w:rPr>
        <w:t>Simek</w:t>
      </w:r>
      <w:proofErr w:type="spellEnd"/>
      <w:r w:rsidRPr="00480BBD">
        <w:rPr>
          <w:sz w:val="18"/>
          <w:szCs w:val="18"/>
        </w:rPr>
        <w:t xml:space="preserve"> Clark Engineers &amp; Architects, FSC  </w:t>
      </w:r>
    </w:p>
  </w:footnote>
  <w:footnote w:id="2">
    <w:p w:rsidR="009A711C" w:rsidRPr="00480BBD" w:rsidRDefault="009A711C" w:rsidP="004460C7">
      <w:pPr>
        <w:rPr>
          <w:sz w:val="18"/>
          <w:szCs w:val="18"/>
        </w:rPr>
      </w:pPr>
      <w:r w:rsidRPr="00480BBD">
        <w:rPr>
          <w:rStyle w:val="FootnoteReference"/>
          <w:sz w:val="18"/>
          <w:szCs w:val="18"/>
        </w:rPr>
        <w:footnoteRef/>
      </w:r>
      <w:r w:rsidRPr="00480BBD">
        <w:rPr>
          <w:sz w:val="18"/>
          <w:szCs w:val="18"/>
        </w:rPr>
        <w:t xml:space="preserve"> </w:t>
      </w:r>
      <w:hyperlink r:id="rId1" w:history="1">
        <w:r w:rsidRPr="00480BBD">
          <w:rPr>
            <w:rStyle w:val="Hyperlink"/>
            <w:sz w:val="18"/>
            <w:szCs w:val="18"/>
          </w:rPr>
          <w:t>http://www.ccme.ca/assets/pdf/d_and_f_standard_e.pdf</w:t>
        </w:r>
      </w:hyperlink>
    </w:p>
  </w:footnote>
  <w:footnote w:id="3">
    <w:p w:rsidR="009A711C" w:rsidRPr="00480BBD" w:rsidRDefault="009A711C" w:rsidP="004460C7">
      <w:pPr>
        <w:rPr>
          <w:sz w:val="18"/>
          <w:szCs w:val="18"/>
        </w:rPr>
      </w:pPr>
      <w:r w:rsidRPr="00480BBD">
        <w:rPr>
          <w:rStyle w:val="FootnoteReference"/>
          <w:sz w:val="18"/>
          <w:szCs w:val="18"/>
        </w:rPr>
        <w:footnoteRef/>
      </w:r>
      <w:r w:rsidRPr="00480BBD">
        <w:rPr>
          <w:sz w:val="18"/>
          <w:szCs w:val="18"/>
        </w:rPr>
        <w:t xml:space="preserve"> </w:t>
      </w:r>
      <w:hyperlink r:id="rId2" w:history="1">
        <w:r w:rsidRPr="00480BBD">
          <w:rPr>
            <w:rStyle w:val="Hyperlink"/>
            <w:sz w:val="18"/>
            <w:szCs w:val="18"/>
          </w:rPr>
          <w:t>http://www.ec.gc.ca/gdd-mw/default.asp?lang=En&amp;n=F53EDE13-1</w:t>
        </w:r>
      </w:hyperlink>
    </w:p>
  </w:footnote>
  <w:footnote w:id="4">
    <w:p w:rsidR="009A711C" w:rsidRPr="00480BBD" w:rsidRDefault="009A711C" w:rsidP="004460C7">
      <w:pPr>
        <w:pStyle w:val="FootnoteText"/>
        <w:rPr>
          <w:sz w:val="18"/>
          <w:szCs w:val="18"/>
        </w:rPr>
      </w:pPr>
      <w:r w:rsidRPr="00480BBD">
        <w:rPr>
          <w:rStyle w:val="FootnoteReference"/>
          <w:sz w:val="18"/>
          <w:szCs w:val="18"/>
        </w:rPr>
        <w:footnoteRef/>
      </w:r>
      <w:r w:rsidRPr="00480BBD">
        <w:rPr>
          <w:sz w:val="18"/>
          <w:szCs w:val="18"/>
        </w:rPr>
        <w:t xml:space="preserve"> </w:t>
      </w:r>
      <w:hyperlink r:id="rId3" w:history="1">
        <w:r w:rsidRPr="00480BBD">
          <w:rPr>
            <w:rStyle w:val="Hyperlink"/>
            <w:sz w:val="18"/>
            <w:szCs w:val="18"/>
          </w:rPr>
          <w:t>http://www.gov.nu.ca/env/Open%20burning.pdf</w:t>
        </w:r>
      </w:hyperlink>
    </w:p>
    <w:p w:rsidR="009A711C" w:rsidRDefault="009A711C" w:rsidP="004460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11C" w:rsidRPr="00071390" w:rsidRDefault="009A711C" w:rsidP="009A71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6024"/>
    <w:multiLevelType w:val="hybridMultilevel"/>
    <w:tmpl w:val="EE8E5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D849CB"/>
    <w:multiLevelType w:val="hybridMultilevel"/>
    <w:tmpl w:val="0F9C2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C7"/>
    <w:rsid w:val="000D19CB"/>
    <w:rsid w:val="001856EC"/>
    <w:rsid w:val="00203E79"/>
    <w:rsid w:val="0030689D"/>
    <w:rsid w:val="00392F66"/>
    <w:rsid w:val="003F2130"/>
    <w:rsid w:val="00405867"/>
    <w:rsid w:val="004460C7"/>
    <w:rsid w:val="00480BBD"/>
    <w:rsid w:val="00580415"/>
    <w:rsid w:val="005D0952"/>
    <w:rsid w:val="006828AB"/>
    <w:rsid w:val="00713CEA"/>
    <w:rsid w:val="007F0FEB"/>
    <w:rsid w:val="00851ED2"/>
    <w:rsid w:val="009A711C"/>
    <w:rsid w:val="00A1162E"/>
    <w:rsid w:val="00C97382"/>
    <w:rsid w:val="00CD446C"/>
    <w:rsid w:val="00DB2510"/>
    <w:rsid w:val="00E95BD3"/>
    <w:rsid w:val="00EB3D7A"/>
    <w:rsid w:val="00EE59B6"/>
    <w:rsid w:val="00EF5A8C"/>
    <w:rsid w:val="00F1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C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60C7"/>
  </w:style>
  <w:style w:type="paragraph" w:styleId="TOC1">
    <w:name w:val="toc 1"/>
    <w:basedOn w:val="Normal"/>
    <w:next w:val="Normal"/>
    <w:autoRedefine/>
    <w:uiPriority w:val="39"/>
    <w:rsid w:val="004460C7"/>
    <w:rPr>
      <w:bCs/>
      <w:sz w:val="22"/>
      <w:szCs w:val="22"/>
    </w:rPr>
  </w:style>
  <w:style w:type="paragraph" w:styleId="Header">
    <w:name w:val="header"/>
    <w:basedOn w:val="Normal"/>
    <w:link w:val="HeaderChar"/>
    <w:rsid w:val="004460C7"/>
    <w:pPr>
      <w:tabs>
        <w:tab w:val="center" w:pos="4320"/>
        <w:tab w:val="right" w:pos="8640"/>
      </w:tabs>
    </w:pPr>
  </w:style>
  <w:style w:type="character" w:customStyle="1" w:styleId="HeaderChar">
    <w:name w:val="Header Char"/>
    <w:basedOn w:val="DefaultParagraphFont"/>
    <w:link w:val="Header"/>
    <w:rsid w:val="004460C7"/>
    <w:rPr>
      <w:rFonts w:ascii="Times New Roman" w:eastAsia="Times New Roman" w:hAnsi="Times New Roman" w:cs="Times New Roman"/>
      <w:sz w:val="24"/>
      <w:szCs w:val="24"/>
    </w:rPr>
  </w:style>
  <w:style w:type="paragraph" w:styleId="Footer">
    <w:name w:val="footer"/>
    <w:basedOn w:val="Normal"/>
    <w:link w:val="FooterChar"/>
    <w:rsid w:val="004460C7"/>
    <w:pPr>
      <w:tabs>
        <w:tab w:val="center" w:pos="4320"/>
        <w:tab w:val="right" w:pos="8640"/>
      </w:tabs>
    </w:pPr>
  </w:style>
  <w:style w:type="character" w:customStyle="1" w:styleId="FooterChar">
    <w:name w:val="Footer Char"/>
    <w:basedOn w:val="DefaultParagraphFont"/>
    <w:link w:val="Footer"/>
    <w:rsid w:val="004460C7"/>
    <w:rPr>
      <w:rFonts w:ascii="Times New Roman" w:eastAsia="Times New Roman" w:hAnsi="Times New Roman" w:cs="Times New Roman"/>
      <w:sz w:val="24"/>
      <w:szCs w:val="24"/>
    </w:rPr>
  </w:style>
  <w:style w:type="character" w:styleId="PageNumber">
    <w:name w:val="page number"/>
    <w:basedOn w:val="DefaultParagraphFont"/>
    <w:rsid w:val="004460C7"/>
  </w:style>
  <w:style w:type="character" w:styleId="Hyperlink">
    <w:name w:val="Hyperlink"/>
    <w:basedOn w:val="DefaultParagraphFont"/>
    <w:uiPriority w:val="99"/>
    <w:rsid w:val="004460C7"/>
    <w:rPr>
      <w:color w:val="0000FF"/>
      <w:sz w:val="24"/>
      <w:u w:val="single"/>
    </w:rPr>
  </w:style>
  <w:style w:type="character" w:styleId="CommentReference">
    <w:name w:val="annotation reference"/>
    <w:basedOn w:val="DefaultParagraphFont"/>
    <w:semiHidden/>
    <w:rsid w:val="004460C7"/>
    <w:rPr>
      <w:sz w:val="16"/>
      <w:szCs w:val="16"/>
    </w:rPr>
  </w:style>
  <w:style w:type="paragraph" w:styleId="CommentText">
    <w:name w:val="annotation text"/>
    <w:basedOn w:val="Normal"/>
    <w:link w:val="CommentTextChar"/>
    <w:semiHidden/>
    <w:rsid w:val="004460C7"/>
    <w:rPr>
      <w:sz w:val="20"/>
      <w:szCs w:val="20"/>
    </w:rPr>
  </w:style>
  <w:style w:type="character" w:customStyle="1" w:styleId="CommentTextChar">
    <w:name w:val="Comment Text Char"/>
    <w:basedOn w:val="DefaultParagraphFont"/>
    <w:link w:val="CommentText"/>
    <w:semiHidden/>
    <w:rsid w:val="004460C7"/>
    <w:rPr>
      <w:rFonts w:ascii="Times New Roman" w:eastAsia="Times New Roman" w:hAnsi="Times New Roman" w:cs="Times New Roman"/>
      <w:sz w:val="20"/>
      <w:szCs w:val="20"/>
    </w:rPr>
  </w:style>
  <w:style w:type="paragraph" w:customStyle="1" w:styleId="NWB2BodyText">
    <w:name w:val="NWB2 Body Text"/>
    <w:basedOn w:val="Normal"/>
    <w:rsid w:val="004460C7"/>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styleId="ListParagraph">
    <w:name w:val="List Paragraph"/>
    <w:basedOn w:val="Normal"/>
    <w:uiPriority w:val="34"/>
    <w:qFormat/>
    <w:rsid w:val="004460C7"/>
    <w:pPr>
      <w:ind w:left="720"/>
    </w:pPr>
  </w:style>
  <w:style w:type="paragraph" w:styleId="FootnoteText">
    <w:name w:val="footnote text"/>
    <w:basedOn w:val="Normal"/>
    <w:link w:val="FootnoteTextChar"/>
    <w:rsid w:val="004460C7"/>
    <w:rPr>
      <w:sz w:val="20"/>
      <w:szCs w:val="20"/>
    </w:rPr>
  </w:style>
  <w:style w:type="character" w:customStyle="1" w:styleId="FootnoteTextChar">
    <w:name w:val="Footnote Text Char"/>
    <w:basedOn w:val="DefaultParagraphFont"/>
    <w:link w:val="FootnoteText"/>
    <w:rsid w:val="004460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60C7"/>
    <w:rPr>
      <w:rFonts w:ascii="Tahoma" w:hAnsi="Tahoma" w:cs="Tahoma"/>
      <w:sz w:val="16"/>
      <w:szCs w:val="16"/>
    </w:rPr>
  </w:style>
  <w:style w:type="character" w:customStyle="1" w:styleId="BalloonTextChar">
    <w:name w:val="Balloon Text Char"/>
    <w:basedOn w:val="DefaultParagraphFont"/>
    <w:link w:val="BalloonText"/>
    <w:uiPriority w:val="99"/>
    <w:semiHidden/>
    <w:rsid w:val="004460C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3CEA"/>
    <w:rPr>
      <w:b/>
      <w:bCs/>
    </w:rPr>
  </w:style>
  <w:style w:type="character" w:customStyle="1" w:styleId="CommentSubjectChar">
    <w:name w:val="Comment Subject Char"/>
    <w:basedOn w:val="CommentTextChar"/>
    <w:link w:val="CommentSubject"/>
    <w:uiPriority w:val="99"/>
    <w:semiHidden/>
    <w:rsid w:val="00713C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C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60C7"/>
  </w:style>
  <w:style w:type="paragraph" w:styleId="TOC1">
    <w:name w:val="toc 1"/>
    <w:basedOn w:val="Normal"/>
    <w:next w:val="Normal"/>
    <w:autoRedefine/>
    <w:uiPriority w:val="39"/>
    <w:rsid w:val="004460C7"/>
    <w:rPr>
      <w:bCs/>
      <w:sz w:val="22"/>
      <w:szCs w:val="22"/>
    </w:rPr>
  </w:style>
  <w:style w:type="paragraph" w:styleId="Header">
    <w:name w:val="header"/>
    <w:basedOn w:val="Normal"/>
    <w:link w:val="HeaderChar"/>
    <w:rsid w:val="004460C7"/>
    <w:pPr>
      <w:tabs>
        <w:tab w:val="center" w:pos="4320"/>
        <w:tab w:val="right" w:pos="8640"/>
      </w:tabs>
    </w:pPr>
  </w:style>
  <w:style w:type="character" w:customStyle="1" w:styleId="HeaderChar">
    <w:name w:val="Header Char"/>
    <w:basedOn w:val="DefaultParagraphFont"/>
    <w:link w:val="Header"/>
    <w:rsid w:val="004460C7"/>
    <w:rPr>
      <w:rFonts w:ascii="Times New Roman" w:eastAsia="Times New Roman" w:hAnsi="Times New Roman" w:cs="Times New Roman"/>
      <w:sz w:val="24"/>
      <w:szCs w:val="24"/>
    </w:rPr>
  </w:style>
  <w:style w:type="paragraph" w:styleId="Footer">
    <w:name w:val="footer"/>
    <w:basedOn w:val="Normal"/>
    <w:link w:val="FooterChar"/>
    <w:rsid w:val="004460C7"/>
    <w:pPr>
      <w:tabs>
        <w:tab w:val="center" w:pos="4320"/>
        <w:tab w:val="right" w:pos="8640"/>
      </w:tabs>
    </w:pPr>
  </w:style>
  <w:style w:type="character" w:customStyle="1" w:styleId="FooterChar">
    <w:name w:val="Footer Char"/>
    <w:basedOn w:val="DefaultParagraphFont"/>
    <w:link w:val="Footer"/>
    <w:rsid w:val="004460C7"/>
    <w:rPr>
      <w:rFonts w:ascii="Times New Roman" w:eastAsia="Times New Roman" w:hAnsi="Times New Roman" w:cs="Times New Roman"/>
      <w:sz w:val="24"/>
      <w:szCs w:val="24"/>
    </w:rPr>
  </w:style>
  <w:style w:type="character" w:styleId="PageNumber">
    <w:name w:val="page number"/>
    <w:basedOn w:val="DefaultParagraphFont"/>
    <w:rsid w:val="004460C7"/>
  </w:style>
  <w:style w:type="character" w:styleId="Hyperlink">
    <w:name w:val="Hyperlink"/>
    <w:basedOn w:val="DefaultParagraphFont"/>
    <w:uiPriority w:val="99"/>
    <w:rsid w:val="004460C7"/>
    <w:rPr>
      <w:color w:val="0000FF"/>
      <w:sz w:val="24"/>
      <w:u w:val="single"/>
    </w:rPr>
  </w:style>
  <w:style w:type="character" w:styleId="CommentReference">
    <w:name w:val="annotation reference"/>
    <w:basedOn w:val="DefaultParagraphFont"/>
    <w:semiHidden/>
    <w:rsid w:val="004460C7"/>
    <w:rPr>
      <w:sz w:val="16"/>
      <w:szCs w:val="16"/>
    </w:rPr>
  </w:style>
  <w:style w:type="paragraph" w:styleId="CommentText">
    <w:name w:val="annotation text"/>
    <w:basedOn w:val="Normal"/>
    <w:link w:val="CommentTextChar"/>
    <w:semiHidden/>
    <w:rsid w:val="004460C7"/>
    <w:rPr>
      <w:sz w:val="20"/>
      <w:szCs w:val="20"/>
    </w:rPr>
  </w:style>
  <w:style w:type="character" w:customStyle="1" w:styleId="CommentTextChar">
    <w:name w:val="Comment Text Char"/>
    <w:basedOn w:val="DefaultParagraphFont"/>
    <w:link w:val="CommentText"/>
    <w:semiHidden/>
    <w:rsid w:val="004460C7"/>
    <w:rPr>
      <w:rFonts w:ascii="Times New Roman" w:eastAsia="Times New Roman" w:hAnsi="Times New Roman" w:cs="Times New Roman"/>
      <w:sz w:val="20"/>
      <w:szCs w:val="20"/>
    </w:rPr>
  </w:style>
  <w:style w:type="paragraph" w:customStyle="1" w:styleId="NWB2BodyText">
    <w:name w:val="NWB2 Body Text"/>
    <w:basedOn w:val="Normal"/>
    <w:rsid w:val="004460C7"/>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styleId="ListParagraph">
    <w:name w:val="List Paragraph"/>
    <w:basedOn w:val="Normal"/>
    <w:uiPriority w:val="34"/>
    <w:qFormat/>
    <w:rsid w:val="004460C7"/>
    <w:pPr>
      <w:ind w:left="720"/>
    </w:pPr>
  </w:style>
  <w:style w:type="paragraph" w:styleId="FootnoteText">
    <w:name w:val="footnote text"/>
    <w:basedOn w:val="Normal"/>
    <w:link w:val="FootnoteTextChar"/>
    <w:rsid w:val="004460C7"/>
    <w:rPr>
      <w:sz w:val="20"/>
      <w:szCs w:val="20"/>
    </w:rPr>
  </w:style>
  <w:style w:type="character" w:customStyle="1" w:styleId="FootnoteTextChar">
    <w:name w:val="Footnote Text Char"/>
    <w:basedOn w:val="DefaultParagraphFont"/>
    <w:link w:val="FootnoteText"/>
    <w:rsid w:val="004460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60C7"/>
    <w:rPr>
      <w:rFonts w:ascii="Tahoma" w:hAnsi="Tahoma" w:cs="Tahoma"/>
      <w:sz w:val="16"/>
      <w:szCs w:val="16"/>
    </w:rPr>
  </w:style>
  <w:style w:type="character" w:customStyle="1" w:styleId="BalloonTextChar">
    <w:name w:val="Balloon Text Char"/>
    <w:basedOn w:val="DefaultParagraphFont"/>
    <w:link w:val="BalloonText"/>
    <w:uiPriority w:val="99"/>
    <w:semiHidden/>
    <w:rsid w:val="004460C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3CEA"/>
    <w:rPr>
      <w:b/>
      <w:bCs/>
    </w:rPr>
  </w:style>
  <w:style w:type="character" w:customStyle="1" w:styleId="CommentSubjectChar">
    <w:name w:val="Comment Subject Char"/>
    <w:basedOn w:val="CommentTextChar"/>
    <w:link w:val="CommentSubject"/>
    <w:uiPriority w:val="99"/>
    <w:semiHidden/>
    <w:rsid w:val="00713C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kharatyan@nunavutwaterboard.org" TargetMode="External"/><Relationship Id="rId4" Type="http://schemas.openxmlformats.org/officeDocument/2006/relationships/settings" Target="settings.xml"/><Relationship Id="rId9" Type="http://schemas.openxmlformats.org/officeDocument/2006/relationships/hyperlink" Target="mailto:jlaitin@sabinagoldsilver.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ov.nu.ca/env/Open%20burning.pdf" TargetMode="External"/><Relationship Id="rId2" Type="http://schemas.openxmlformats.org/officeDocument/2006/relationships/hyperlink" Target="http://www.ec.gc.ca/gdd-mw/default.asp?lang=En&amp;n=F53EDE13-1" TargetMode="External"/><Relationship Id="rId1" Type="http://schemas.openxmlformats.org/officeDocument/2006/relationships/hyperlink" Target="http://www.ccme.ca/assets/pdf/d_and_f_standard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cp:lastModifiedBy>
  <cp:revision>4</cp:revision>
  <dcterms:created xsi:type="dcterms:W3CDTF">2012-05-01T22:19:00Z</dcterms:created>
  <dcterms:modified xsi:type="dcterms:W3CDTF">2012-05-01T22:21:00Z</dcterms:modified>
</cp:coreProperties>
</file>