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82" w:rsidRDefault="00F67382" w:rsidP="00F67382">
      <w:pPr>
        <w:pStyle w:val="CM61"/>
        <w:pageBreakBefore/>
        <w:spacing w:after="1172" w:line="620" w:lineRule="atLeast"/>
        <w:rPr>
          <w:rFonts w:ascii="GMNOKM+Arial,Bold" w:hAnsi="GMNOKM+Arial,Bold" w:cs="GMNOKM+Arial,Bold"/>
          <w:b/>
          <w:bCs/>
          <w:color w:val="000000"/>
          <w:sz w:val="54"/>
          <w:szCs w:val="54"/>
        </w:rPr>
      </w:pPr>
    </w:p>
    <w:p w:rsidR="00F67382" w:rsidRDefault="00F67382" w:rsidP="00F67382">
      <w:pPr>
        <w:pStyle w:val="Default"/>
        <w:jc w:val="center"/>
      </w:pPr>
    </w:p>
    <w:p w:rsidR="00F67382" w:rsidRPr="00967764" w:rsidRDefault="00F67382" w:rsidP="00F67382">
      <w:pPr>
        <w:pStyle w:val="Default"/>
        <w:jc w:val="center"/>
      </w:pPr>
      <w:r>
        <w:t>Name of the Plan</w:t>
      </w:r>
    </w:p>
    <w:p w:rsidR="00F67382" w:rsidRDefault="00F67382" w:rsidP="00F67382">
      <w:pPr>
        <w:pStyle w:val="CM62"/>
        <w:spacing w:after="565"/>
        <w:jc w:val="center"/>
        <w:rPr>
          <w:rFonts w:ascii="Times New Roman" w:hAnsi="Times New Roman" w:cs="Times New Roman"/>
          <w:color w:val="000000"/>
          <w:sz w:val="28"/>
          <w:szCs w:val="28"/>
        </w:rPr>
      </w:pPr>
    </w:p>
    <w:p w:rsidR="00F67382" w:rsidRPr="00967764" w:rsidRDefault="00F67382" w:rsidP="00F67382">
      <w:pPr>
        <w:pStyle w:val="CM62"/>
        <w:spacing w:after="565"/>
        <w:jc w:val="center"/>
        <w:rPr>
          <w:rFonts w:ascii="Times New Roman" w:hAnsi="Times New Roman" w:cs="Times New Roman"/>
          <w:color w:val="000000"/>
          <w:sz w:val="28"/>
          <w:szCs w:val="28"/>
        </w:rPr>
      </w:pPr>
      <w:r w:rsidRPr="00967764">
        <w:rPr>
          <w:rFonts w:ascii="Times New Roman" w:hAnsi="Times New Roman" w:cs="Times New Roman"/>
          <w:color w:val="000000"/>
          <w:sz w:val="28"/>
          <w:szCs w:val="28"/>
        </w:rPr>
        <w:t>Prepared By</w:t>
      </w:r>
    </w:p>
    <w:p w:rsidR="00F67382" w:rsidRPr="00967764" w:rsidRDefault="00F67382" w:rsidP="00F67382">
      <w:pPr>
        <w:pStyle w:val="Default"/>
        <w:jc w:val="center"/>
        <w:rPr>
          <w:rFonts w:ascii="Times New Roman" w:hAnsi="Times New Roman" w:cs="Times New Roman"/>
          <w:sz w:val="28"/>
          <w:szCs w:val="28"/>
        </w:rPr>
      </w:pPr>
    </w:p>
    <w:p w:rsidR="00F67382" w:rsidRPr="00967764" w:rsidRDefault="00F67382" w:rsidP="00F67382">
      <w:pPr>
        <w:pStyle w:val="Default"/>
        <w:jc w:val="center"/>
        <w:rPr>
          <w:rFonts w:ascii="Times New Roman" w:hAnsi="Times New Roman" w:cs="Times New Roman"/>
          <w:sz w:val="28"/>
          <w:szCs w:val="28"/>
        </w:rPr>
      </w:pPr>
      <w:r w:rsidRPr="00967764">
        <w:rPr>
          <w:rFonts w:ascii="Times New Roman" w:hAnsi="Times New Roman" w:cs="Times New Roman"/>
          <w:sz w:val="28"/>
          <w:szCs w:val="28"/>
        </w:rPr>
        <w:t>Dated Prepared</w:t>
      </w:r>
    </w:p>
    <w:p w:rsidR="00F67382" w:rsidRPr="00967764" w:rsidRDefault="00F67382" w:rsidP="00F67382">
      <w:pPr>
        <w:pStyle w:val="Default"/>
        <w:jc w:val="center"/>
        <w:rPr>
          <w:rFonts w:ascii="Times New Roman" w:hAnsi="Times New Roman" w:cs="Times New Roman"/>
          <w:sz w:val="28"/>
          <w:szCs w:val="28"/>
        </w:rPr>
      </w:pPr>
    </w:p>
    <w:p w:rsidR="00F67382" w:rsidRPr="00967764" w:rsidRDefault="00F67382" w:rsidP="00F67382">
      <w:pPr>
        <w:pStyle w:val="Default"/>
        <w:jc w:val="center"/>
        <w:rPr>
          <w:rFonts w:ascii="Times New Roman" w:hAnsi="Times New Roman" w:cs="Times New Roman"/>
          <w:sz w:val="28"/>
          <w:szCs w:val="28"/>
        </w:rPr>
      </w:pPr>
    </w:p>
    <w:p w:rsidR="00F67382" w:rsidRPr="00967764" w:rsidRDefault="00F67382" w:rsidP="00F67382">
      <w:pPr>
        <w:pStyle w:val="Default"/>
        <w:jc w:val="center"/>
        <w:rPr>
          <w:rFonts w:ascii="Times New Roman" w:hAnsi="Times New Roman" w:cs="Times New Roman"/>
          <w:sz w:val="28"/>
          <w:szCs w:val="28"/>
        </w:rPr>
      </w:pPr>
      <w:r w:rsidRPr="00967764">
        <w:rPr>
          <w:rFonts w:ascii="Times New Roman" w:hAnsi="Times New Roman" w:cs="Times New Roman"/>
          <w:sz w:val="28"/>
          <w:szCs w:val="28"/>
        </w:rPr>
        <w:t>Effective Date</w:t>
      </w:r>
    </w:p>
    <w:p w:rsidR="00F67382" w:rsidRPr="00967764" w:rsidRDefault="00F67382" w:rsidP="00F67382">
      <w:pPr>
        <w:pStyle w:val="CM62"/>
        <w:spacing w:after="565"/>
        <w:jc w:val="center"/>
        <w:rPr>
          <w:rFonts w:ascii="Times New Roman" w:hAnsi="Times New Roman" w:cs="Times New Roman"/>
          <w:color w:val="000000"/>
          <w:sz w:val="28"/>
          <w:szCs w:val="28"/>
        </w:rPr>
      </w:pPr>
    </w:p>
    <w:p w:rsidR="00F67382" w:rsidRDefault="00F67382" w:rsidP="00F67382">
      <w:pPr>
        <w:pStyle w:val="CM62"/>
        <w:spacing w:after="565"/>
        <w:jc w:val="both"/>
        <w:rPr>
          <w:rFonts w:ascii="GMNOLO+Arial" w:hAnsi="GMNOLO+Arial" w:cs="GMNOLO+Arial"/>
          <w:color w:val="000000"/>
          <w:sz w:val="32"/>
          <w:szCs w:val="32"/>
        </w:rPr>
      </w:pPr>
    </w:p>
    <w:p w:rsidR="00F67382" w:rsidRDefault="00F67382" w:rsidP="00F67382">
      <w:pPr>
        <w:pStyle w:val="CM62"/>
        <w:spacing w:after="565"/>
        <w:jc w:val="both"/>
        <w:rPr>
          <w:rFonts w:ascii="GMNOLO+Arial" w:hAnsi="GMNOLO+Arial" w:cs="GMNOLO+Arial"/>
          <w:color w:val="000000"/>
          <w:sz w:val="32"/>
          <w:szCs w:val="32"/>
        </w:rPr>
      </w:pPr>
    </w:p>
    <w:p w:rsidR="00F67382" w:rsidRDefault="00F67382" w:rsidP="00F67382">
      <w:pPr>
        <w:pStyle w:val="CM62"/>
        <w:spacing w:after="565"/>
        <w:jc w:val="both"/>
        <w:rPr>
          <w:rFonts w:ascii="GMNOLO+Arial" w:hAnsi="GMNOLO+Arial" w:cs="GMNOLO+Arial"/>
          <w:color w:val="000000"/>
          <w:sz w:val="32"/>
          <w:szCs w:val="32"/>
        </w:rPr>
      </w:pPr>
    </w:p>
    <w:p w:rsidR="00F67382" w:rsidRDefault="00F67382" w:rsidP="00F67382">
      <w:pPr>
        <w:pStyle w:val="CM62"/>
        <w:spacing w:after="565"/>
        <w:jc w:val="both"/>
        <w:rPr>
          <w:rFonts w:ascii="GMNOLO+Arial" w:hAnsi="GMNOLO+Arial" w:cs="GMNOLO+Arial"/>
          <w:color w:val="000000"/>
          <w:sz w:val="32"/>
          <w:szCs w:val="32"/>
        </w:rPr>
      </w:pPr>
    </w:p>
    <w:p w:rsidR="00F67382" w:rsidRDefault="00F67382" w:rsidP="00F67382">
      <w:pPr>
        <w:pStyle w:val="CM62"/>
        <w:spacing w:after="565"/>
        <w:jc w:val="both"/>
        <w:rPr>
          <w:rFonts w:ascii="GMNOLO+Arial" w:hAnsi="GMNOLO+Arial" w:cs="GMNOLO+Arial"/>
          <w:color w:val="000000"/>
          <w:sz w:val="32"/>
          <w:szCs w:val="32"/>
        </w:rPr>
      </w:pPr>
    </w:p>
    <w:p w:rsidR="00F67382" w:rsidRDefault="00F67382" w:rsidP="00F67382">
      <w:pPr>
        <w:pStyle w:val="CM62"/>
        <w:spacing w:after="565"/>
        <w:jc w:val="both"/>
        <w:rPr>
          <w:rFonts w:ascii="GMNOLO+Arial" w:hAnsi="GMNOLO+Arial" w:cs="GMNOLO+Arial"/>
          <w:color w:val="000000"/>
          <w:sz w:val="32"/>
          <w:szCs w:val="32"/>
        </w:rPr>
      </w:pPr>
    </w:p>
    <w:p w:rsidR="00F67382" w:rsidRDefault="00F67382" w:rsidP="00F67382">
      <w:pPr>
        <w:pStyle w:val="CM62"/>
        <w:spacing w:after="565"/>
        <w:jc w:val="both"/>
        <w:rPr>
          <w:rFonts w:ascii="GMNOLO+Arial" w:hAnsi="GMNOLO+Arial" w:cs="GMNOLO+Arial"/>
          <w:color w:val="000000"/>
          <w:sz w:val="32"/>
          <w:szCs w:val="32"/>
        </w:rPr>
      </w:pPr>
    </w:p>
    <w:p w:rsidR="00F67382" w:rsidRDefault="00F67382" w:rsidP="00F67382">
      <w:pPr>
        <w:pStyle w:val="CM62"/>
        <w:spacing w:after="565"/>
        <w:jc w:val="both"/>
        <w:rPr>
          <w:rFonts w:ascii="GMNOLO+Arial" w:hAnsi="GMNOLO+Arial" w:cs="GMNOLO+Arial"/>
          <w:color w:val="000000"/>
          <w:sz w:val="32"/>
          <w:szCs w:val="32"/>
        </w:rPr>
      </w:pPr>
      <w:r>
        <w:rPr>
          <w:rFonts w:ascii="GMNOLO+Arial" w:hAnsi="GMNOLO+Arial" w:cs="GMNOLO+Arial"/>
          <w:color w:val="000000"/>
          <w:sz w:val="32"/>
          <w:szCs w:val="32"/>
        </w:rPr>
        <w:lastRenderedPageBreak/>
        <w:t xml:space="preserve">Table of Contents </w:t>
      </w:r>
    </w:p>
    <w:p w:rsidR="00F67382" w:rsidRDefault="00F67382" w:rsidP="00F67382">
      <w:pPr>
        <w:pStyle w:val="Default"/>
        <w:rPr>
          <w:rFonts w:ascii="GMNOLO+Arial" w:hAnsi="GMNOLO+Arial" w:cs="GMNOLO+Arial"/>
          <w:sz w:val="28"/>
          <w:szCs w:val="28"/>
        </w:rPr>
      </w:pPr>
      <w:r>
        <w:rPr>
          <w:rFonts w:ascii="GMNOLO+Arial" w:hAnsi="GMNOLO+Arial" w:cs="GMNOLO+Arial"/>
          <w:sz w:val="28"/>
          <w:szCs w:val="28"/>
        </w:rPr>
        <w:t xml:space="preserve">1. Introduction 1 </w:t>
      </w:r>
    </w:p>
    <w:p w:rsidR="00F67382" w:rsidRDefault="00F67382" w:rsidP="00F67382">
      <w:pPr>
        <w:pStyle w:val="CM59"/>
        <w:spacing w:after="232"/>
        <w:ind w:left="647"/>
        <w:rPr>
          <w:rFonts w:ascii="GMNOLO+Arial" w:hAnsi="GMNOLO+Arial" w:cs="GMNOLO+Arial"/>
          <w:color w:val="000000"/>
          <w:sz w:val="22"/>
          <w:szCs w:val="22"/>
        </w:rPr>
      </w:pPr>
      <w:r>
        <w:rPr>
          <w:rFonts w:ascii="GMNOLO+Arial" w:hAnsi="GMNOLO+Arial" w:cs="GMNOLO+Arial"/>
          <w:color w:val="000000"/>
          <w:sz w:val="22"/>
          <w:szCs w:val="22"/>
        </w:rPr>
        <w:t xml:space="preserve">1.1 </w:t>
      </w:r>
      <w:r>
        <w:rPr>
          <w:rFonts w:ascii="GMNONP+TimesNewRoman" w:hAnsi="GMNONP+TimesNewRoman" w:cs="GMNONP+TimesNewRoman"/>
          <w:color w:val="000000"/>
          <w:sz w:val="22"/>
          <w:szCs w:val="22"/>
        </w:rPr>
        <w:t>Expected Environmental Impacts of Campsite and Exploration Activities</w:t>
      </w:r>
      <w:r>
        <w:rPr>
          <w:rFonts w:ascii="GMNOLO+Arial" w:hAnsi="GMNOLO+Arial" w:cs="GMNOLO+Arial"/>
          <w:color w:val="000000"/>
          <w:sz w:val="22"/>
          <w:szCs w:val="22"/>
        </w:rPr>
        <w:t xml:space="preserve"> 2 </w:t>
      </w:r>
    </w:p>
    <w:p w:rsidR="00F67382" w:rsidRDefault="00F67382" w:rsidP="00F67382">
      <w:pPr>
        <w:pStyle w:val="CM5"/>
        <w:rPr>
          <w:rFonts w:ascii="GMNOLO+Arial" w:hAnsi="GMNOLO+Arial" w:cs="GMNOLO+Arial"/>
          <w:color w:val="000000"/>
          <w:sz w:val="28"/>
          <w:szCs w:val="28"/>
        </w:rPr>
      </w:pPr>
      <w:r>
        <w:rPr>
          <w:rFonts w:ascii="GMNOLO+Arial" w:hAnsi="GMNOLO+Arial" w:cs="GMNOLO+Arial"/>
          <w:color w:val="000000"/>
          <w:sz w:val="28"/>
          <w:szCs w:val="28"/>
        </w:rPr>
        <w:t xml:space="preserve">2. Camp &amp; Exploration Operations 2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 2.1 Campsite 2</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 2.2 Fuel Storage 4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2.3 Campsite Sewage Disposal 4</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 2.4 Solid Waste 4</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 2.5 Waste Oil 4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2.6 Hazardous Waste 5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2.7 Drill Holes 5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2.8 Drill Cores and Sumps 5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2.9 Bulky Items/Scrap Metal 5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2.10 Water Intake 5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2.11 Helicopter Landing Pad 6 </w:t>
      </w:r>
    </w:p>
    <w:p w:rsidR="00F67382" w:rsidRDefault="00F67382" w:rsidP="00F67382">
      <w:pPr>
        <w:pStyle w:val="CM59"/>
        <w:spacing w:after="232"/>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2.12 Generator 6 </w:t>
      </w:r>
    </w:p>
    <w:p w:rsidR="00F67382" w:rsidRDefault="00F67382" w:rsidP="00F67382">
      <w:pPr>
        <w:pStyle w:val="CM5"/>
        <w:rPr>
          <w:rFonts w:ascii="GMNOLO+Arial" w:hAnsi="GMNOLO+Arial" w:cs="GMNOLO+Arial"/>
          <w:color w:val="000000"/>
          <w:sz w:val="28"/>
          <w:szCs w:val="28"/>
        </w:rPr>
      </w:pPr>
      <w:r>
        <w:rPr>
          <w:rFonts w:ascii="GMNOLO+Arial" w:hAnsi="GMNOLO+Arial" w:cs="GMNOLO+Arial"/>
          <w:color w:val="000000"/>
          <w:sz w:val="28"/>
          <w:szCs w:val="28"/>
        </w:rPr>
        <w:t xml:space="preserve">3. Final Abandonment &amp; Restoration 6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3.1 Time Frame</w:t>
      </w:r>
      <w:r>
        <w:rPr>
          <w:rFonts w:ascii="GMNOLO+Arial" w:hAnsi="GMNOLO+Arial" w:cs="GMNOLO+Arial"/>
          <w:color w:val="000000"/>
          <w:sz w:val="22"/>
          <w:szCs w:val="22"/>
        </w:rPr>
        <w:t xml:space="preserve"> 6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3.2 Camp</w:t>
      </w:r>
      <w:r>
        <w:rPr>
          <w:rFonts w:ascii="GMNOLO+Arial" w:hAnsi="GMNOLO+Arial" w:cs="GMNOLO+Arial"/>
          <w:color w:val="000000"/>
          <w:sz w:val="22"/>
          <w:szCs w:val="22"/>
        </w:rPr>
        <w:t xml:space="preserve"> 6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3.3 Fuel storage and re-fuelling areas</w:t>
      </w:r>
      <w:r>
        <w:rPr>
          <w:rFonts w:ascii="GMNOLO+Arial" w:hAnsi="GMNOLO+Arial" w:cs="GMNOLO+Arial"/>
          <w:color w:val="000000"/>
          <w:sz w:val="22"/>
          <w:szCs w:val="22"/>
        </w:rPr>
        <w:t xml:space="preserve"> 6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3.4 Grey-water Sump</w:t>
      </w:r>
      <w:r>
        <w:rPr>
          <w:rFonts w:ascii="GMNOLO+Arial" w:hAnsi="GMNOLO+Arial" w:cs="GMNOLO+Arial"/>
          <w:color w:val="000000"/>
          <w:sz w:val="22"/>
          <w:szCs w:val="22"/>
        </w:rPr>
        <w:t xml:space="preserve"> 6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3.5 Solid Wastes</w:t>
      </w:r>
      <w:r>
        <w:rPr>
          <w:rFonts w:ascii="GMNOLO+Arial" w:hAnsi="GMNOLO+Arial" w:cs="GMNOLO+Arial"/>
          <w:color w:val="000000"/>
          <w:sz w:val="22"/>
          <w:szCs w:val="22"/>
        </w:rPr>
        <w:t xml:space="preserve"> 7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 xml:space="preserve">3.6 Waste Oil </w:t>
      </w:r>
      <w:r>
        <w:rPr>
          <w:rFonts w:ascii="GMNOLO+Arial" w:hAnsi="GMNOLO+Arial" w:cs="GMNOLO+Arial"/>
          <w:color w:val="000000"/>
          <w:sz w:val="22"/>
          <w:szCs w:val="22"/>
        </w:rPr>
        <w:t xml:space="preserve">7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 xml:space="preserve">3.7 Hazardous Waste </w:t>
      </w:r>
      <w:r>
        <w:rPr>
          <w:rFonts w:ascii="GMNOLO+Arial" w:hAnsi="GMNOLO+Arial" w:cs="GMNOLO+Arial"/>
          <w:color w:val="000000"/>
          <w:sz w:val="22"/>
          <w:szCs w:val="22"/>
        </w:rPr>
        <w:t xml:space="preserve">7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3.8 Drill Sites, Sumps and Cuttings</w:t>
      </w:r>
      <w:r>
        <w:rPr>
          <w:rFonts w:ascii="GMNOLO+Arial" w:hAnsi="GMNOLO+Arial" w:cs="GMNOLO+Arial"/>
          <w:color w:val="000000"/>
          <w:sz w:val="22"/>
          <w:szCs w:val="22"/>
        </w:rPr>
        <w:t xml:space="preserve"> 7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3.9 Bulky Items</w:t>
      </w:r>
      <w:r>
        <w:rPr>
          <w:rFonts w:ascii="GMNOLO+Arial" w:hAnsi="GMNOLO+Arial" w:cs="GMNOLO+Arial"/>
          <w:color w:val="000000"/>
          <w:sz w:val="22"/>
          <w:szCs w:val="22"/>
        </w:rPr>
        <w:t xml:space="preserve"> 7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3.10 Water Intake</w:t>
      </w:r>
      <w:r>
        <w:rPr>
          <w:rFonts w:ascii="GMNOLO+Arial" w:hAnsi="GMNOLO+Arial" w:cs="GMNOLO+Arial"/>
          <w:color w:val="000000"/>
          <w:sz w:val="22"/>
          <w:szCs w:val="22"/>
        </w:rPr>
        <w:t xml:space="preserve"> 7 </w:t>
      </w:r>
    </w:p>
    <w:p w:rsidR="00F67382" w:rsidRDefault="00F67382" w:rsidP="00F67382">
      <w:pPr>
        <w:pStyle w:val="CM4"/>
        <w:ind w:left="647"/>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3.11 Helicopter Landing Pad 7 </w:t>
      </w:r>
    </w:p>
    <w:p w:rsidR="00F67382" w:rsidRDefault="00F67382" w:rsidP="00F67382">
      <w:pPr>
        <w:pStyle w:val="CM4"/>
        <w:ind w:left="647"/>
        <w:rPr>
          <w:rFonts w:ascii="GMNOLO+Arial" w:hAnsi="GMNOLO+Arial" w:cs="GMNOLO+Arial"/>
          <w:color w:val="000000"/>
          <w:sz w:val="22"/>
          <w:szCs w:val="22"/>
        </w:rPr>
      </w:pPr>
      <w:r>
        <w:rPr>
          <w:rFonts w:ascii="GMNONP+TimesNewRoman" w:hAnsi="GMNONP+TimesNewRoman" w:cs="GMNONP+TimesNewRoman"/>
          <w:color w:val="000000"/>
          <w:sz w:val="22"/>
          <w:szCs w:val="22"/>
        </w:rPr>
        <w:t>3.12 Generators</w:t>
      </w:r>
      <w:r>
        <w:rPr>
          <w:rFonts w:ascii="GMNOLO+Arial" w:hAnsi="GMNOLO+Arial" w:cs="GMNOLO+Arial"/>
          <w:color w:val="000000"/>
          <w:sz w:val="22"/>
          <w:szCs w:val="22"/>
        </w:rPr>
        <w:t xml:space="preserve"> 7</w:t>
      </w:r>
    </w:p>
    <w:p w:rsidR="00F67382" w:rsidRDefault="00F67382" w:rsidP="00F67382">
      <w:pPr>
        <w:pStyle w:val="CM4"/>
        <w:ind w:left="647"/>
        <w:rPr>
          <w:rFonts w:ascii="GMNOLO+Arial" w:hAnsi="GMNOLO+Arial" w:cs="GMNOLO+Arial"/>
          <w:color w:val="000000"/>
          <w:sz w:val="22"/>
          <w:szCs w:val="22"/>
        </w:rPr>
      </w:pPr>
    </w:p>
    <w:p w:rsidR="00F67382" w:rsidRDefault="00F67382" w:rsidP="00F67382">
      <w:pPr>
        <w:pStyle w:val="CM4"/>
        <w:ind w:left="647" w:hanging="647"/>
        <w:rPr>
          <w:rFonts w:ascii="GMNOLO+Arial" w:hAnsi="GMNOLO+Arial" w:cs="GMNOLO+Arial"/>
          <w:color w:val="000000"/>
          <w:sz w:val="32"/>
          <w:szCs w:val="32"/>
        </w:rPr>
      </w:pPr>
      <w:r>
        <w:rPr>
          <w:rFonts w:ascii="GMNOLO+Arial" w:hAnsi="GMNOLO+Arial" w:cs="GMNOLO+Arial"/>
          <w:color w:val="000000"/>
          <w:sz w:val="22"/>
          <w:szCs w:val="22"/>
        </w:rPr>
        <w:t xml:space="preserve">4. </w:t>
      </w:r>
      <w:r>
        <w:rPr>
          <w:rFonts w:ascii="GMNOLO+Arial" w:hAnsi="GMNOLO+Arial" w:cs="GMNOLO+Arial"/>
          <w:color w:val="000000"/>
          <w:sz w:val="32"/>
          <w:szCs w:val="32"/>
        </w:rPr>
        <w:t xml:space="preserve">List of Appendices </w:t>
      </w:r>
    </w:p>
    <w:p w:rsidR="00F67382" w:rsidRDefault="00F67382" w:rsidP="00F67382">
      <w:pPr>
        <w:pStyle w:val="CM6"/>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Appendix A Contact List Appendix B Material Safety Data Sheets (MSDS) Appendix C Spill Report Form Appendix D Uranium Exploration Plan Appendix E Nunavut Waste Generator Number Appendix F Daily Wildlife Log Appendix G Figures </w:t>
      </w:r>
    </w:p>
    <w:p w:rsidR="00F67382" w:rsidRDefault="00F67382" w:rsidP="00F67382">
      <w:pPr>
        <w:pStyle w:val="CM61"/>
        <w:spacing w:after="1172" w:line="238" w:lineRule="atLeast"/>
        <w:rPr>
          <w:rFonts w:ascii="GMNONP+TimesNewRoman" w:hAnsi="GMNONP+TimesNewRoman" w:cs="GMNONP+TimesNewRoman"/>
          <w:color w:val="000000"/>
          <w:sz w:val="22"/>
          <w:szCs w:val="22"/>
        </w:rPr>
      </w:pPr>
      <w:r>
        <w:rPr>
          <w:rFonts w:ascii="GMNONP+TimesNewRoman" w:hAnsi="GMNONP+TimesNewRoman" w:cs="GMNONP+TimesNewRoman"/>
          <w:color w:val="000000"/>
          <w:sz w:val="22"/>
          <w:szCs w:val="22"/>
        </w:rPr>
        <w:t xml:space="preserve"> 1-1 Site Location Map 1-2 Exploration Area 1-3 Camp Layout </w:t>
      </w:r>
    </w:p>
    <w:p w:rsidR="00F67382" w:rsidRPr="006142FF" w:rsidRDefault="00F67382" w:rsidP="00F67382">
      <w:pPr>
        <w:pStyle w:val="CM60"/>
        <w:spacing w:after="302"/>
        <w:jc w:val="both"/>
        <w:rPr>
          <w:rFonts w:ascii="GPLNMC+Arial,Bold" w:hAnsi="GPLNMC+Arial,Bold" w:cs="GPLNMC+Arial,Bold"/>
          <w:sz w:val="32"/>
          <w:szCs w:val="32"/>
        </w:rPr>
      </w:pPr>
      <w:r w:rsidRPr="006142FF">
        <w:rPr>
          <w:rFonts w:ascii="GPLNMC+Arial,Bold" w:hAnsi="GPLNMC+Arial,Bold" w:cs="GPLNMC+Arial,Bold"/>
          <w:b/>
          <w:bCs/>
          <w:sz w:val="32"/>
          <w:szCs w:val="32"/>
        </w:rPr>
        <w:t xml:space="preserve">1. Introduction </w:t>
      </w:r>
    </w:p>
    <w:p w:rsidR="00F67382" w:rsidRPr="006142FF" w:rsidRDefault="00F67382" w:rsidP="00F67382">
      <w:pPr>
        <w:pStyle w:val="CM60"/>
        <w:spacing w:after="302" w:line="300" w:lineRule="atLeast"/>
        <w:jc w:val="both"/>
        <w:rPr>
          <w:rFonts w:ascii="GPLNPF+TimesNewRoman,Italic" w:hAnsi="GPLNPF+TimesNewRoman,Italic" w:cs="GPLNPF+TimesNewRoman,Italic"/>
          <w:color w:val="1D477B"/>
          <w:sz w:val="22"/>
          <w:szCs w:val="22"/>
        </w:rPr>
      </w:pPr>
      <w:r w:rsidRPr="006142FF">
        <w:rPr>
          <w:rFonts w:ascii="GPLNPF+TimesNewRoman,Italic" w:hAnsi="GPLNPF+TimesNewRoman,Italic" w:cs="GPLNPF+TimesNewRoman,Italic"/>
          <w:color w:val="1D477B"/>
          <w:sz w:val="22"/>
          <w:szCs w:val="22"/>
        </w:rPr>
        <w:t xml:space="preserve">XX was incorporated under the laws of Nunavut and presently holds 64 mineral claims comprising 53,734.30 hectares and two Inuit Owned Land parcels comprising of 19,711.70 hectares surrounding All </w:t>
      </w:r>
      <w:r w:rsidRPr="006142FF">
        <w:rPr>
          <w:rFonts w:ascii="GPLNPF+TimesNewRoman,Italic" w:hAnsi="GPLNPF+TimesNewRoman,Italic" w:cs="GPLNPF+TimesNewRoman,Italic"/>
          <w:color w:val="1D477B"/>
          <w:sz w:val="22"/>
          <w:szCs w:val="22"/>
        </w:rPr>
        <w:lastRenderedPageBreak/>
        <w:t xml:space="preserve">Night Lake and McGregor Lake. </w:t>
      </w:r>
    </w:p>
    <w:p w:rsidR="00F67382" w:rsidRPr="006142FF" w:rsidRDefault="00F67382" w:rsidP="00F67382">
      <w:pPr>
        <w:pStyle w:val="CM60"/>
        <w:spacing w:after="302" w:line="300" w:lineRule="atLeast"/>
        <w:jc w:val="both"/>
        <w:rPr>
          <w:rFonts w:ascii="GPLOAH+TimesNewRoman" w:hAnsi="GPLOAH+TimesNewRoman" w:cs="GPLOAH+TimesNewRoman"/>
          <w:color w:val="000000"/>
          <w:sz w:val="22"/>
          <w:szCs w:val="22"/>
        </w:rPr>
      </w:pPr>
      <w:r w:rsidRPr="006142FF">
        <w:rPr>
          <w:noProof/>
        </w:rPr>
        <w:pict>
          <v:shapetype id="_x0000_t202" coordsize="21600,21600" o:spt="202" path="m,l,21600r21600,l21600,xe">
            <v:stroke joinstyle="miter"/>
            <v:path gradientshapeok="t" o:connecttype="rect"/>
          </v:shapetype>
          <v:shape id="_x0000_s1026" type="#_x0000_t202" style="position:absolute;left:0;text-align:left;margin-left:62pt;margin-top:264pt;width:502.35pt;height:106pt;z-index:251660288;mso-position-horizontal-relative:page;mso-position-vertical-relative:page" wrapcoords="0 0" o:allowincell="f" filled="f" stroked="f">
            <v:textbox>
              <w:txbxContent>
                <w:tbl>
                  <w:tblPr>
                    <w:tblW w:w="0" w:type="auto"/>
                    <w:tblBorders>
                      <w:top w:val="nil"/>
                      <w:left w:val="nil"/>
                      <w:bottom w:val="nil"/>
                      <w:right w:val="nil"/>
                    </w:tblBorders>
                    <w:tblLayout w:type="fixed"/>
                    <w:tblLook w:val="0000"/>
                  </w:tblPr>
                  <w:tblGrid>
                    <w:gridCol w:w="415"/>
                    <w:gridCol w:w="8332"/>
                    <w:gridCol w:w="445"/>
                  </w:tblGrid>
                  <w:tr w:rsidR="00F67382" w:rsidTr="00F67382">
                    <w:tblPrEx>
                      <w:tblCellMar>
                        <w:top w:w="0" w:type="dxa"/>
                        <w:bottom w:w="0" w:type="dxa"/>
                      </w:tblCellMar>
                    </w:tblPrEx>
                    <w:trPr>
                      <w:divId w:val="16777216"/>
                      <w:trHeight w:val="278"/>
                    </w:trPr>
                    <w:tc>
                      <w:tcPr>
                        <w:tcW w:w="9192" w:type="dxa"/>
                        <w:gridSpan w:val="3"/>
                      </w:tcPr>
                      <w:p w:rsidR="00F67382" w:rsidRDefault="00F67382" w:rsidP="00F67382">
                        <w:pPr>
                          <w:pStyle w:val="Default"/>
                          <w:numPr>
                            <w:ilvl w:val="0"/>
                            <w:numId w:val="1"/>
                          </w:numPr>
                          <w:rPr>
                            <w:rFonts w:ascii="GMNOLO+Arial" w:hAnsi="GMNOLO+Arial" w:cs="GMNOLO+Arial"/>
                            <w:sz w:val="32"/>
                            <w:szCs w:val="32"/>
                          </w:rPr>
                        </w:pPr>
                        <w:r>
                          <w:rPr>
                            <w:rFonts w:ascii="GMNOLO+Arial" w:hAnsi="GMNOLO+Arial" w:cs="GMNOLO+Arial"/>
                            <w:sz w:val="32"/>
                            <w:szCs w:val="32"/>
                          </w:rPr>
                          <w:t xml:space="preserve">List of Tables </w:t>
                        </w:r>
                      </w:p>
                    </w:tc>
                  </w:tr>
                  <w:tr w:rsidR="00F67382" w:rsidTr="00F67382">
                    <w:tblPrEx>
                      <w:tblCellMar>
                        <w:top w:w="0" w:type="dxa"/>
                        <w:bottom w:w="0" w:type="dxa"/>
                      </w:tblCellMar>
                    </w:tblPrEx>
                    <w:trPr>
                      <w:divId w:val="16777216"/>
                      <w:trHeight w:val="267"/>
                    </w:trPr>
                    <w:tc>
                      <w:tcPr>
                        <w:tcW w:w="415" w:type="dxa"/>
                        <w:vAlign w:val="bottom"/>
                      </w:tcPr>
                      <w:p w:rsidR="00F67382" w:rsidRDefault="00F67382" w:rsidP="00F67382">
                        <w:pPr>
                          <w:pStyle w:val="Default"/>
                          <w:numPr>
                            <w:ilvl w:val="0"/>
                            <w:numId w:val="1"/>
                          </w:numPr>
                          <w:rPr>
                            <w:rFonts w:ascii="GMNONP+TimesNewRoman" w:hAnsi="GMNONP+TimesNewRoman" w:cs="GMNONP+TimesNewRoman"/>
                            <w:sz w:val="22"/>
                            <w:szCs w:val="22"/>
                          </w:rPr>
                        </w:pPr>
                        <w:r>
                          <w:rPr>
                            <w:rFonts w:ascii="GMNONP+TimesNewRoman" w:hAnsi="GMNONP+TimesNewRoman" w:cs="GMNONP+TimesNewRoman"/>
                            <w:sz w:val="22"/>
                            <w:szCs w:val="22"/>
                          </w:rPr>
                          <w:t xml:space="preserve">2-1 </w:t>
                        </w:r>
                      </w:p>
                    </w:tc>
                    <w:tc>
                      <w:tcPr>
                        <w:tcW w:w="8332" w:type="dxa"/>
                        <w:vAlign w:val="bottom"/>
                      </w:tcPr>
                      <w:p w:rsidR="00F67382" w:rsidRDefault="00F67382" w:rsidP="00F67382">
                        <w:pPr>
                          <w:pStyle w:val="Default"/>
                          <w:numPr>
                            <w:ilvl w:val="0"/>
                            <w:numId w:val="1"/>
                          </w:numPr>
                          <w:rPr>
                            <w:rFonts w:ascii="GMNONP+TimesNewRoman" w:hAnsi="GMNONP+TimesNewRoman" w:cs="GMNONP+TimesNewRoman"/>
                            <w:sz w:val="20"/>
                            <w:szCs w:val="20"/>
                          </w:rPr>
                        </w:pPr>
                        <w:r>
                          <w:rPr>
                            <w:rFonts w:ascii="GMNONP+TimesNewRoman" w:hAnsi="GMNONP+TimesNewRoman" w:cs="GMNONP+TimesNewRoman"/>
                            <w:sz w:val="20"/>
                            <w:szCs w:val="20"/>
                          </w:rPr>
                          <w:t xml:space="preserve">Campsite Structures to be Left On-Site in a Short Term Temporary Closure (Less than One Year) </w:t>
                        </w:r>
                      </w:p>
                    </w:tc>
                    <w:tc>
                      <w:tcPr>
                        <w:tcW w:w="445" w:type="dxa"/>
                        <w:vAlign w:val="bottom"/>
                      </w:tcPr>
                      <w:p w:rsidR="00F67382" w:rsidRDefault="00F67382" w:rsidP="00F67382">
                        <w:pPr>
                          <w:pStyle w:val="Default"/>
                          <w:numPr>
                            <w:ilvl w:val="0"/>
                            <w:numId w:val="1"/>
                          </w:numPr>
                          <w:jc w:val="right"/>
                          <w:rPr>
                            <w:rFonts w:ascii="GMNONP+TimesNewRoman" w:hAnsi="GMNONP+TimesNewRoman" w:cs="GMNONP+TimesNewRoman"/>
                            <w:sz w:val="22"/>
                            <w:szCs w:val="22"/>
                          </w:rPr>
                        </w:pPr>
                        <w:r>
                          <w:rPr>
                            <w:rFonts w:ascii="GMNONP+TimesNewRoman" w:hAnsi="GMNONP+TimesNewRoman" w:cs="GMNONP+TimesNewRoman"/>
                            <w:sz w:val="22"/>
                            <w:szCs w:val="22"/>
                          </w:rPr>
                          <w:t xml:space="preserve">3 </w:t>
                        </w:r>
                      </w:p>
                    </w:tc>
                  </w:tr>
                  <w:tr w:rsidR="00F67382" w:rsidTr="00F67382">
                    <w:tblPrEx>
                      <w:tblCellMar>
                        <w:top w:w="0" w:type="dxa"/>
                        <w:bottom w:w="0" w:type="dxa"/>
                      </w:tblCellMar>
                    </w:tblPrEx>
                    <w:trPr>
                      <w:divId w:val="16777216"/>
                      <w:trHeight w:val="116"/>
                    </w:trPr>
                    <w:tc>
                      <w:tcPr>
                        <w:tcW w:w="415" w:type="dxa"/>
                        <w:vAlign w:val="center"/>
                      </w:tcPr>
                      <w:p w:rsidR="00F67382" w:rsidRDefault="00F67382" w:rsidP="00F67382">
                        <w:pPr>
                          <w:pStyle w:val="Default"/>
                          <w:numPr>
                            <w:ilvl w:val="0"/>
                            <w:numId w:val="1"/>
                          </w:numPr>
                          <w:rPr>
                            <w:rFonts w:ascii="GMNONP+TimesNewRoman" w:hAnsi="GMNONP+TimesNewRoman" w:cs="GMNONP+TimesNewRoman"/>
                            <w:sz w:val="22"/>
                            <w:szCs w:val="22"/>
                          </w:rPr>
                        </w:pPr>
                        <w:r>
                          <w:rPr>
                            <w:rFonts w:ascii="GMNONP+TimesNewRoman" w:hAnsi="GMNONP+TimesNewRoman" w:cs="GMNONP+TimesNewRoman"/>
                            <w:sz w:val="22"/>
                            <w:szCs w:val="22"/>
                          </w:rPr>
                          <w:t xml:space="preserve">2-2 </w:t>
                        </w:r>
                      </w:p>
                    </w:tc>
                    <w:tc>
                      <w:tcPr>
                        <w:tcW w:w="8332" w:type="dxa"/>
                      </w:tcPr>
                      <w:p w:rsidR="00F67382" w:rsidRDefault="00F67382" w:rsidP="00F67382">
                        <w:pPr>
                          <w:pStyle w:val="Default"/>
                          <w:numPr>
                            <w:ilvl w:val="0"/>
                            <w:numId w:val="1"/>
                          </w:numPr>
                          <w:rPr>
                            <w:rFonts w:ascii="GMNONP+TimesNewRoman" w:hAnsi="GMNONP+TimesNewRoman" w:cs="GMNONP+TimesNewRoman"/>
                            <w:sz w:val="20"/>
                            <w:szCs w:val="20"/>
                          </w:rPr>
                        </w:pPr>
                        <w:r>
                          <w:rPr>
                            <w:rFonts w:ascii="GMNONP+TimesNewRoman" w:hAnsi="GMNONP+TimesNewRoman" w:cs="GMNONP+TimesNewRoman"/>
                            <w:sz w:val="20"/>
                            <w:szCs w:val="20"/>
                          </w:rPr>
                          <w:t xml:space="preserve">Campsite Equipment to be Left On-Site in a Short Term Temporary Closure (Less than One Year) </w:t>
                        </w:r>
                      </w:p>
                    </w:tc>
                    <w:tc>
                      <w:tcPr>
                        <w:tcW w:w="445" w:type="dxa"/>
                        <w:vAlign w:val="center"/>
                      </w:tcPr>
                      <w:p w:rsidR="00F67382" w:rsidRDefault="00F67382" w:rsidP="00F67382">
                        <w:pPr>
                          <w:pStyle w:val="Default"/>
                          <w:numPr>
                            <w:ilvl w:val="0"/>
                            <w:numId w:val="1"/>
                          </w:numPr>
                          <w:jc w:val="right"/>
                          <w:rPr>
                            <w:rFonts w:ascii="GMNONP+TimesNewRoman" w:hAnsi="GMNONP+TimesNewRoman" w:cs="GMNONP+TimesNewRoman"/>
                            <w:sz w:val="22"/>
                            <w:szCs w:val="22"/>
                          </w:rPr>
                        </w:pPr>
                        <w:r>
                          <w:rPr>
                            <w:rFonts w:ascii="GMNONP+TimesNewRoman" w:hAnsi="GMNONP+TimesNewRoman" w:cs="GMNONP+TimesNewRoman"/>
                            <w:sz w:val="22"/>
                            <w:szCs w:val="22"/>
                          </w:rPr>
                          <w:t xml:space="preserve">3 </w:t>
                        </w:r>
                      </w:p>
                    </w:tc>
                  </w:tr>
                </w:tbl>
              </w:txbxContent>
            </v:textbox>
            <w10:wrap type="through" anchorx="page" anchory="page"/>
          </v:shape>
        </w:pict>
      </w:r>
      <w:r w:rsidRPr="006142FF">
        <w:rPr>
          <w:rFonts w:ascii="GPLOAH+TimesNewRoman" w:hAnsi="GPLOAH+TimesNewRoman" w:cs="GPLOAH+TimesNewRoman"/>
          <w:color w:val="000000"/>
          <w:sz w:val="22"/>
          <w:szCs w:val="22"/>
        </w:rPr>
        <w:t xml:space="preserve">These claims are located between 70 and 100 </w:t>
      </w:r>
      <w:proofErr w:type="spellStart"/>
      <w:r w:rsidRPr="006142FF">
        <w:rPr>
          <w:rFonts w:ascii="GPLOAH+TimesNewRoman" w:hAnsi="GPLOAH+TimesNewRoman" w:cs="GPLOAH+TimesNewRoman"/>
          <w:color w:val="000000"/>
          <w:sz w:val="22"/>
          <w:szCs w:val="22"/>
        </w:rPr>
        <w:t>kilometres</w:t>
      </w:r>
      <w:proofErr w:type="spellEnd"/>
      <w:r w:rsidRPr="006142FF">
        <w:rPr>
          <w:rFonts w:ascii="GPLOAH+TimesNewRoman" w:hAnsi="GPLOAH+TimesNewRoman" w:cs="GPLOAH+TimesNewRoman"/>
          <w:color w:val="000000"/>
          <w:sz w:val="22"/>
          <w:szCs w:val="22"/>
        </w:rPr>
        <w:t xml:space="preserve"> south of Kugluktuk, Nunavut (Figure 1-2). The exploration program is at grass root stage and is considered to be low impact. It includes regional and detailed geological mapping, prospecting and sampling, airborne and ground based geophysical surveys and drilling. </w:t>
      </w:r>
    </w:p>
    <w:p w:rsidR="00F67382" w:rsidRPr="006142FF" w:rsidRDefault="00F67382" w:rsidP="00F67382">
      <w:pPr>
        <w:pStyle w:val="CM60"/>
        <w:spacing w:after="302" w:line="300" w:lineRule="atLeast"/>
        <w:jc w:val="both"/>
        <w:rPr>
          <w:rFonts w:ascii="GPLOAH+TimesNewRoman" w:hAnsi="GPLOAH+TimesNewRoman" w:cs="GPLOAH+TimesNewRoman"/>
          <w:color w:val="000000"/>
          <w:sz w:val="22"/>
          <w:szCs w:val="22"/>
        </w:rPr>
      </w:pPr>
      <w:r w:rsidRPr="006142FF">
        <w:rPr>
          <w:rFonts w:ascii="GPLOAH+TimesNewRoman" w:hAnsi="GPLOAH+TimesNewRoman" w:cs="GPLOAH+TimesNewRoman"/>
          <w:color w:val="000000"/>
          <w:sz w:val="22"/>
          <w:szCs w:val="22"/>
        </w:rPr>
        <w:t xml:space="preserve"> X </w:t>
      </w:r>
      <w:proofErr w:type="spellStart"/>
      <w:r w:rsidRPr="006142FF">
        <w:rPr>
          <w:rFonts w:ascii="GPLOAH+TimesNewRoman" w:hAnsi="GPLOAH+TimesNewRoman" w:cs="GPLOAH+TimesNewRoman"/>
          <w:color w:val="000000"/>
          <w:sz w:val="22"/>
          <w:szCs w:val="22"/>
        </w:rPr>
        <w:t>X</w:t>
      </w:r>
      <w:proofErr w:type="spellEnd"/>
      <w:r w:rsidRPr="006142FF">
        <w:rPr>
          <w:rFonts w:ascii="GPLOAH+TimesNewRoman" w:hAnsi="GPLOAH+TimesNewRoman" w:cs="GPLOAH+TimesNewRoman"/>
          <w:color w:val="000000"/>
          <w:sz w:val="22"/>
          <w:szCs w:val="22"/>
        </w:rPr>
        <w:t xml:space="preserve"> presently holds a Kitikmeot Inuit Association (KIA) Land Use License KTL306C016 permitting a camp (with airstrip), staking &amp; prospecting, exploration (</w:t>
      </w:r>
      <w:proofErr w:type="spellStart"/>
      <w:r w:rsidRPr="006142FF">
        <w:rPr>
          <w:rFonts w:ascii="GPLOAH+TimesNewRoman" w:hAnsi="GPLOAH+TimesNewRoman" w:cs="GPLOAH+TimesNewRoman"/>
          <w:color w:val="000000"/>
          <w:sz w:val="22"/>
          <w:szCs w:val="22"/>
        </w:rPr>
        <w:t>geophys</w:t>
      </w:r>
      <w:r w:rsidRPr="006142FF">
        <w:rPr>
          <w:rFonts w:ascii="GPLOAH+TimesNewRoman" w:hAnsi="GPLOAH+TimesNewRoman" w:cs="GPLOAH+TimesNewRoman"/>
          <w:color w:val="000000"/>
          <w:sz w:val="22"/>
          <w:szCs w:val="22"/>
        </w:rPr>
        <w:softHyphen/>
        <w:t>grd</w:t>
      </w:r>
      <w:proofErr w:type="spellEnd"/>
      <w:r w:rsidRPr="006142FF">
        <w:rPr>
          <w:rFonts w:ascii="GPLOAH+TimesNewRoman" w:hAnsi="GPLOAH+TimesNewRoman" w:cs="GPLOAH+TimesNewRoman"/>
          <w:color w:val="000000"/>
          <w:sz w:val="22"/>
          <w:szCs w:val="22"/>
        </w:rPr>
        <w:t xml:space="preserve">/air) drilling and bulk fuel storage at McGregor Lake to support exploration activities associated with Ni-Cu-PGE and uranium exploration. The License is valid until </w:t>
      </w:r>
      <w:r w:rsidRPr="006142FF">
        <w:rPr>
          <w:rFonts w:ascii="GPLNPF+TimesNewRoman,Italic" w:hAnsi="GPLNPF+TimesNewRoman,Italic" w:cs="GPLNPF+TimesNewRoman,Italic"/>
          <w:color w:val="1D477B"/>
          <w:sz w:val="22"/>
          <w:szCs w:val="22"/>
        </w:rPr>
        <w:t>July 20, 2011</w:t>
      </w:r>
      <w:r w:rsidRPr="006142FF">
        <w:rPr>
          <w:rFonts w:ascii="GPLOAH+TimesNewRoman" w:hAnsi="GPLOAH+TimesNewRoman" w:cs="GPLOAH+TimesNewRoman"/>
          <w:color w:val="000000"/>
          <w:sz w:val="22"/>
          <w:szCs w:val="22"/>
        </w:rPr>
        <w:t xml:space="preserve">. This </w:t>
      </w:r>
      <w:r w:rsidRPr="006142FF">
        <w:rPr>
          <w:rFonts w:ascii="GPLNPF+TimesNewRoman,Italic" w:hAnsi="GPLNPF+TimesNewRoman,Italic" w:cs="GPLNPF+TimesNewRoman,Italic"/>
          <w:color w:val="1D477B"/>
          <w:sz w:val="22"/>
          <w:szCs w:val="22"/>
        </w:rPr>
        <w:t xml:space="preserve">original </w:t>
      </w:r>
      <w:r w:rsidRPr="006142FF">
        <w:rPr>
          <w:rFonts w:ascii="GPLOAH+TimesNewRoman" w:hAnsi="GPLOAH+TimesNewRoman" w:cs="GPLOAH+TimesNewRoman"/>
          <w:color w:val="000000"/>
          <w:sz w:val="22"/>
          <w:szCs w:val="22"/>
        </w:rPr>
        <w:t xml:space="preserve">license was issued to establish a new camp at Iceberg Creek along the southwest shore of McGregor Lake. </w:t>
      </w:r>
    </w:p>
    <w:p w:rsidR="00F67382" w:rsidRPr="006142FF" w:rsidRDefault="00F67382" w:rsidP="00F67382">
      <w:pPr>
        <w:pStyle w:val="CM60"/>
        <w:spacing w:after="302" w:line="300" w:lineRule="atLeast"/>
        <w:jc w:val="both"/>
        <w:rPr>
          <w:rFonts w:ascii="GPLOAH+TimesNewRoman" w:hAnsi="GPLOAH+TimesNewRoman" w:cs="GPLOAH+TimesNewRoman"/>
          <w:color w:val="000000"/>
          <w:sz w:val="22"/>
          <w:szCs w:val="22"/>
        </w:rPr>
      </w:pPr>
      <w:r w:rsidRPr="006142FF">
        <w:rPr>
          <w:rFonts w:ascii="GPLOAH+TimesNewRoman" w:hAnsi="GPLOAH+TimesNewRoman" w:cs="GPLOAH+TimesNewRoman"/>
          <w:color w:val="000000"/>
          <w:sz w:val="22"/>
          <w:szCs w:val="22"/>
        </w:rPr>
        <w:t xml:space="preserve">As an alternative to setting up a new camp, the Kitikmeot Inuit Association (KIA) required use an abandoned exploration camp along the north shore of McGregor Lake that was established and operated by Inco Limited in the 1950’s and 1960’s (Figure 1-1). Figure 1-2 shows the location of the campsite as well as the proposed drill targets. </w:t>
      </w:r>
    </w:p>
    <w:p w:rsidR="00F67382" w:rsidRPr="006142FF" w:rsidRDefault="00F67382" w:rsidP="00F67382">
      <w:pPr>
        <w:pStyle w:val="CM60"/>
        <w:spacing w:after="302" w:line="300" w:lineRule="atLeast"/>
        <w:jc w:val="both"/>
        <w:rPr>
          <w:rFonts w:ascii="GPLOAH+TimesNewRoman" w:hAnsi="GPLOAH+TimesNewRoman" w:cs="GPLOAH+TimesNewRoman"/>
          <w:color w:val="000000"/>
          <w:sz w:val="22"/>
          <w:szCs w:val="22"/>
        </w:rPr>
      </w:pPr>
      <w:r w:rsidRPr="006142FF">
        <w:rPr>
          <w:rFonts w:ascii="GPLOAH+TimesNewRoman" w:hAnsi="GPLOAH+TimesNewRoman" w:cs="GPLOAH+TimesNewRoman"/>
          <w:color w:val="000000"/>
          <w:sz w:val="22"/>
          <w:szCs w:val="22"/>
        </w:rPr>
        <w:t xml:space="preserve">This Abandonment and Restoration Plan was originally provided as part of the amendment and renewal of KTL306C016 to </w:t>
      </w:r>
      <w:proofErr w:type="gramStart"/>
      <w:r w:rsidRPr="006142FF">
        <w:rPr>
          <w:rFonts w:ascii="GPLOAH+TimesNewRoman" w:hAnsi="GPLOAH+TimesNewRoman" w:cs="GPLOAH+TimesNewRoman"/>
          <w:color w:val="000000"/>
          <w:sz w:val="22"/>
          <w:szCs w:val="22"/>
        </w:rPr>
        <w:t>expand  drilling</w:t>
      </w:r>
      <w:proofErr w:type="gramEnd"/>
      <w:r w:rsidRPr="006142FF">
        <w:rPr>
          <w:rFonts w:ascii="GPLOAH+TimesNewRoman" w:hAnsi="GPLOAH+TimesNewRoman" w:cs="GPLOAH+TimesNewRoman"/>
          <w:color w:val="000000"/>
          <w:sz w:val="22"/>
          <w:szCs w:val="22"/>
        </w:rPr>
        <w:t xml:space="preserve"> program to 10,000m and the use/expansion of the McGregor Lake Campsite to accommodate 25-30 personnel. Figure 1-3 presents the proposed camp layout. </w:t>
      </w:r>
    </w:p>
    <w:p w:rsidR="00F67382" w:rsidRPr="006142FF" w:rsidRDefault="00F67382" w:rsidP="00F67382">
      <w:pPr>
        <w:pStyle w:val="CM63"/>
        <w:spacing w:after="437" w:line="300" w:lineRule="atLeast"/>
        <w:jc w:val="both"/>
        <w:rPr>
          <w:rFonts w:ascii="GPLOAH+TimesNewRoman" w:hAnsi="GPLOAH+TimesNewRoman" w:cs="GPLOAH+TimesNewRoman"/>
          <w:color w:val="000000"/>
          <w:sz w:val="22"/>
          <w:szCs w:val="22"/>
        </w:rPr>
      </w:pPr>
      <w:r w:rsidRPr="006142FF">
        <w:rPr>
          <w:rFonts w:ascii="GPLOAH+TimesNewRoman" w:hAnsi="GPLOAH+TimesNewRoman" w:cs="GPLOAH+TimesNewRoman"/>
          <w:color w:val="000000"/>
          <w:sz w:val="22"/>
          <w:szCs w:val="22"/>
        </w:rPr>
        <w:t xml:space="preserve">This Spill and Contingency Plan is in support of any activities conducted by and shall be in effect when approval is obtained by the appropriate authorizing agencies, and is subject to revisions as may be necessitated by future programs. </w:t>
      </w:r>
    </w:p>
    <w:p w:rsidR="00F67382" w:rsidRPr="006142FF" w:rsidRDefault="00F67382" w:rsidP="00F67382">
      <w:pPr>
        <w:pStyle w:val="CM8"/>
        <w:jc w:val="both"/>
        <w:rPr>
          <w:rFonts w:ascii="GPLNMC+Arial,Bold" w:hAnsi="GPLNMC+Arial,Bold" w:cs="GPLNMC+Arial,Bold"/>
          <w:color w:val="000000"/>
          <w:sz w:val="22"/>
          <w:szCs w:val="22"/>
        </w:rPr>
      </w:pPr>
      <w:r w:rsidRPr="006142FF">
        <w:rPr>
          <w:rFonts w:ascii="GPLNMC+Arial,Bold" w:hAnsi="GPLNMC+Arial,Bold" w:cs="GPLNMC+Arial,Bold"/>
          <w:b/>
          <w:bCs/>
          <w:color w:val="000000"/>
          <w:sz w:val="22"/>
          <w:szCs w:val="22"/>
        </w:rPr>
        <w:t xml:space="preserve">1.1 Expected Environmental Impacts of Campsite and Exploration Activities </w:t>
      </w:r>
    </w:p>
    <w:p w:rsidR="00F67382" w:rsidRPr="006142FF" w:rsidRDefault="00F67382" w:rsidP="00F67382">
      <w:pPr>
        <w:pStyle w:val="CM64"/>
        <w:spacing w:after="800" w:line="300" w:lineRule="atLeast"/>
        <w:jc w:val="both"/>
        <w:rPr>
          <w:rFonts w:ascii="GPLOAH+TimesNewRoman" w:hAnsi="GPLOAH+TimesNewRoman" w:cs="GPLOAH+TimesNewRoman"/>
          <w:color w:val="000000"/>
          <w:sz w:val="22"/>
          <w:szCs w:val="22"/>
        </w:rPr>
      </w:pPr>
      <w:r w:rsidRPr="006142FF">
        <w:rPr>
          <w:rFonts w:ascii="GPLOAH+TimesNewRoman" w:hAnsi="GPLOAH+TimesNewRoman" w:cs="GPLOAH+TimesNewRoman"/>
          <w:color w:val="000000"/>
          <w:sz w:val="22"/>
          <w:szCs w:val="22"/>
        </w:rPr>
        <w:t xml:space="preserve">Little environmental impact is anticipated from the use of the existing McGregor Lake Campsite. The proposed camp area was chosen because it will avoid any additional surface disturbance in the area. To further reduce any possible impact to vegetation, the exploration programs will run from March to October with seasonal shutdown periods during May and June during ice break-up. The campsite and exploration activities will be shutdown from October to March. During the winter shut-down, the camp will either be winterized or, if warranted, one or two people will remain on site as caretakers and to watch the camp. </w:t>
      </w:r>
    </w:p>
    <w:p w:rsidR="00F67382" w:rsidRDefault="00F67382" w:rsidP="00F67382">
      <w:pPr>
        <w:pStyle w:val="Default"/>
        <w:rPr>
          <w:rFonts w:cstheme="minorBidi"/>
          <w:color w:val="auto"/>
        </w:rPr>
      </w:pPr>
      <w:r w:rsidRPr="006142FF">
        <w:rPr>
          <w:noProof/>
        </w:rPr>
        <w:lastRenderedPageBreak/>
        <w:pict>
          <v:shape id="_x0000_s1027" type="#_x0000_t202" style="position:absolute;margin-left:81.4pt;margin-top:54pt;width:480.75pt;height:241.3pt;z-index:251661312;mso-position-horizontal-relative:page;mso-position-vertical-relative:page" wrapcoords="0 0" o:allowincell="f" filled="f" stroked="f">
            <v:textbox>
              <w:txbxContent>
                <w:p w:rsidR="00F67382" w:rsidRDefault="00F67382" w:rsidP="00F67382">
                  <w:pPr>
                    <w:widowControl w:val="0"/>
                    <w:autoSpaceDE w:val="0"/>
                    <w:autoSpaceDN w:val="0"/>
                    <w:adjustRightInd w:val="0"/>
                    <w:spacing w:after="395" w:line="231" w:lineRule="atLeast"/>
                    <w:jc w:val="center"/>
                    <w:rPr>
                      <w:rFonts w:ascii="GPLNMC+Arial,Bold" w:hAnsi="GPLNMC+Arial,Bold" w:cs="GPLNMC+Arial,Bold"/>
                      <w:color w:val="000000"/>
                      <w:sz w:val="20"/>
                      <w:szCs w:val="20"/>
                    </w:rPr>
                  </w:pPr>
                  <w:r>
                    <w:rPr>
                      <w:rFonts w:ascii="GPLNMC+Arial,Bold" w:hAnsi="GPLNMC+Arial,Bold" w:cs="GPLNMC+Arial,Bold"/>
                      <w:b/>
                      <w:bCs/>
                      <w:color w:val="000000"/>
                      <w:sz w:val="20"/>
                      <w:szCs w:val="20"/>
                    </w:rPr>
                    <w:t xml:space="preserve">Table 2-1 Campsite Structures to be Left On-Site in a Short Term Temporary Closure (Less than One Year) </w:t>
                  </w:r>
                </w:p>
                <w:tbl>
                  <w:tblPr>
                    <w:tblW w:w="0" w:type="auto"/>
                    <w:tblBorders>
                      <w:top w:val="nil"/>
                      <w:left w:val="nil"/>
                      <w:bottom w:val="nil"/>
                      <w:right w:val="nil"/>
                    </w:tblBorders>
                    <w:tblLayout w:type="fixed"/>
                    <w:tblLook w:val="0000"/>
                  </w:tblPr>
                  <w:tblGrid>
                    <w:gridCol w:w="3075"/>
                    <w:gridCol w:w="877"/>
                    <w:gridCol w:w="643"/>
                    <w:gridCol w:w="1537"/>
                    <w:gridCol w:w="118"/>
                    <w:gridCol w:w="1660"/>
                    <w:gridCol w:w="427"/>
                    <w:gridCol w:w="961"/>
                  </w:tblGrid>
                  <w:tr w:rsidR="00F67382">
                    <w:tblPrEx>
                      <w:tblCellMar>
                        <w:top w:w="0" w:type="dxa"/>
                        <w:bottom w:w="0" w:type="dxa"/>
                      </w:tblCellMar>
                    </w:tblPrEx>
                    <w:trPr>
                      <w:trHeight w:val="296"/>
                    </w:trPr>
                    <w:tc>
                      <w:tcPr>
                        <w:tcW w:w="4595" w:type="dxa"/>
                        <w:gridSpan w:val="3"/>
                        <w:tcBorders>
                          <w:top w:val="single" w:sz="6" w:space="0" w:color="000000"/>
                          <w:left w:val="single" w:sz="4" w:space="0" w:color="000000"/>
                          <w:bottom w:val="single" w:sz="4" w:space="0" w:color="000000"/>
                          <w:right w:val="single" w:sz="4" w:space="0" w:color="000000"/>
                        </w:tcBorders>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Structure Type </w:t>
                        </w:r>
                      </w:p>
                    </w:tc>
                    <w:tc>
                      <w:tcPr>
                        <w:tcW w:w="1655" w:type="dxa"/>
                        <w:gridSpan w:val="2"/>
                        <w:tcBorders>
                          <w:top w:val="single" w:sz="6" w:space="0" w:color="000000"/>
                          <w:left w:val="single" w:sz="4" w:space="0" w:color="000000"/>
                          <w:bottom w:val="single" w:sz="4" w:space="0" w:color="000000"/>
                          <w:right w:val="single" w:sz="4" w:space="0" w:color="000000"/>
                        </w:tcBorders>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New or Existing Structure </w:t>
                        </w:r>
                      </w:p>
                    </w:tc>
                    <w:tc>
                      <w:tcPr>
                        <w:tcW w:w="1660" w:type="dxa"/>
                        <w:tcBorders>
                          <w:top w:val="single" w:sz="6" w:space="0" w:color="000000"/>
                          <w:left w:val="single" w:sz="4" w:space="0" w:color="000000"/>
                          <w:bottom w:val="single" w:sz="4" w:space="0" w:color="000000"/>
                          <w:right w:val="single" w:sz="4" w:space="0" w:color="000000"/>
                        </w:tcBorders>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Approximate Dimensions </w:t>
                        </w:r>
                      </w:p>
                    </w:tc>
                    <w:tc>
                      <w:tcPr>
                        <w:tcW w:w="905" w:type="dxa"/>
                        <w:gridSpan w:val="2"/>
                        <w:tcBorders>
                          <w:top w:val="single" w:sz="6" w:space="0" w:color="000000"/>
                          <w:left w:val="single" w:sz="4" w:space="0" w:color="000000"/>
                          <w:bottom w:val="single" w:sz="4" w:space="0" w:color="000000"/>
                          <w:right w:val="single" w:sz="4" w:space="0" w:color="000000"/>
                        </w:tcBorders>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Number </w:t>
                        </w:r>
                      </w:p>
                    </w:tc>
                  </w:tr>
                  <w:tr w:rsidR="00F67382">
                    <w:tblPrEx>
                      <w:tblCellMar>
                        <w:top w:w="0" w:type="dxa"/>
                        <w:bottom w:w="0" w:type="dxa"/>
                      </w:tblCellMar>
                    </w:tblPrEx>
                    <w:trPr>
                      <w:trHeight w:val="156"/>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Core Shack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New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20ft x 30ft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r>
                  <w:tr w:rsidR="00F67382">
                    <w:tblPrEx>
                      <w:tblCellMar>
                        <w:top w:w="0" w:type="dxa"/>
                        <w:bottom w:w="0" w:type="dxa"/>
                      </w:tblCellMar>
                    </w:tblPrEx>
                    <w:trPr>
                      <w:trHeight w:val="153"/>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Geologist’s Office w/ existing core shack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Existing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34ft x 20ft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r>
                  <w:tr w:rsidR="00F67382">
                    <w:tblPrEx>
                      <w:tblCellMar>
                        <w:top w:w="0" w:type="dxa"/>
                        <w:bottom w:w="0" w:type="dxa"/>
                      </w:tblCellMar>
                    </w:tblPrEx>
                    <w:trPr>
                      <w:trHeight w:val="156"/>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Drill Foreman Office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Existing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14ft x 16ft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r>
                  <w:tr w:rsidR="00F67382">
                    <w:tblPrEx>
                      <w:tblCellMar>
                        <w:top w:w="0" w:type="dxa"/>
                        <w:bottom w:w="0" w:type="dxa"/>
                      </w:tblCellMar>
                    </w:tblPrEx>
                    <w:trPr>
                      <w:trHeight w:val="153"/>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Kitchen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Existing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30ft x 16ft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r>
                  <w:tr w:rsidR="00F67382">
                    <w:tblPrEx>
                      <w:tblCellMar>
                        <w:top w:w="0" w:type="dxa"/>
                        <w:bottom w:w="0" w:type="dxa"/>
                      </w:tblCellMar>
                    </w:tblPrEx>
                    <w:trPr>
                      <w:trHeight w:val="156"/>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First Aid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Existing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14ft x 16ft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r>
                  <w:tr w:rsidR="00F67382">
                    <w:tblPrEx>
                      <w:tblCellMar>
                        <w:top w:w="0" w:type="dxa"/>
                        <w:bottom w:w="0" w:type="dxa"/>
                      </w:tblCellMar>
                    </w:tblPrEx>
                    <w:trPr>
                      <w:trHeight w:val="156"/>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Generator Room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Existing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10ft x 10ft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r>
                  <w:tr w:rsidR="00F67382">
                    <w:tblPrEx>
                      <w:tblCellMar>
                        <w:top w:w="0" w:type="dxa"/>
                        <w:bottom w:w="0" w:type="dxa"/>
                      </w:tblCellMar>
                    </w:tblPrEx>
                    <w:trPr>
                      <w:trHeight w:val="153"/>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Dry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Existing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34ft x 20ft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r>
                  <w:tr w:rsidR="00F67382">
                    <w:tblPrEx>
                      <w:tblCellMar>
                        <w:top w:w="0" w:type="dxa"/>
                        <w:bottom w:w="0" w:type="dxa"/>
                      </w:tblCellMar>
                    </w:tblPrEx>
                    <w:trPr>
                      <w:trHeight w:val="156"/>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Sleeper (insulated tent accommodation)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Existing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16ft x 20ft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6 </w:t>
                        </w:r>
                      </w:p>
                    </w:tc>
                  </w:tr>
                  <w:tr w:rsidR="00F67382">
                    <w:tblPrEx>
                      <w:tblCellMar>
                        <w:top w:w="0" w:type="dxa"/>
                        <w:bottom w:w="0" w:type="dxa"/>
                      </w:tblCellMar>
                    </w:tblPrEx>
                    <w:trPr>
                      <w:trHeight w:val="153"/>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Sleeper (insulated tent accommodation)</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 New</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 14ft x 16ft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5 </w:t>
                        </w:r>
                      </w:p>
                    </w:tc>
                  </w:tr>
                  <w:tr w:rsidR="00F67382">
                    <w:tblPrEx>
                      <w:tblCellMar>
                        <w:top w:w="0" w:type="dxa"/>
                        <w:bottom w:w="0" w:type="dxa"/>
                      </w:tblCellMar>
                    </w:tblPrEx>
                    <w:trPr>
                      <w:trHeight w:val="156"/>
                    </w:trPr>
                    <w:tc>
                      <w:tcPr>
                        <w:tcW w:w="4595" w:type="dxa"/>
                        <w:gridSpan w:val="3"/>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Outhouse </w:t>
                        </w:r>
                      </w:p>
                    </w:tc>
                    <w:tc>
                      <w:tcPr>
                        <w:tcW w:w="165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Existing </w:t>
                        </w:r>
                      </w:p>
                    </w:tc>
                    <w:tc>
                      <w:tcPr>
                        <w:tcW w:w="1660" w:type="dxa"/>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9ft x 9ft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r>
                  <w:tr w:rsidR="00F67382">
                    <w:tblPrEx>
                      <w:tblCellMar>
                        <w:top w:w="0" w:type="dxa"/>
                        <w:bottom w:w="0" w:type="dxa"/>
                      </w:tblCellMar>
                    </w:tblPrEx>
                    <w:trPr>
                      <w:trHeight w:val="157"/>
                    </w:trPr>
                    <w:tc>
                      <w:tcPr>
                        <w:tcW w:w="4595" w:type="dxa"/>
                        <w:gridSpan w:val="3"/>
                        <w:tcBorders>
                          <w:top w:val="single" w:sz="4"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proofErr w:type="spellStart"/>
                        <w:r>
                          <w:rPr>
                            <w:rFonts w:ascii="GPLNNE+Arial" w:hAnsi="GPLNNE+Arial" w:cs="GPLNNE+Arial"/>
                            <w:sz w:val="18"/>
                            <w:szCs w:val="18"/>
                          </w:rPr>
                          <w:t>Pacto</w:t>
                        </w:r>
                        <w:proofErr w:type="spellEnd"/>
                        <w:r>
                          <w:rPr>
                            <w:rFonts w:ascii="GPLNNE+Arial" w:hAnsi="GPLNNE+Arial" w:cs="GPLNNE+Arial"/>
                            <w:sz w:val="18"/>
                            <w:szCs w:val="18"/>
                          </w:rPr>
                          <w:t xml:space="preserve"> Toilets </w:t>
                        </w:r>
                      </w:p>
                    </w:tc>
                    <w:tc>
                      <w:tcPr>
                        <w:tcW w:w="1655" w:type="dxa"/>
                        <w:gridSpan w:val="2"/>
                        <w:tcBorders>
                          <w:top w:val="single" w:sz="4"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New </w:t>
                        </w:r>
                      </w:p>
                    </w:tc>
                    <w:tc>
                      <w:tcPr>
                        <w:tcW w:w="1660" w:type="dxa"/>
                        <w:tcBorders>
                          <w:top w:val="single" w:sz="4"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9ft x 9ft </w:t>
                        </w:r>
                      </w:p>
                    </w:tc>
                    <w:tc>
                      <w:tcPr>
                        <w:tcW w:w="905" w:type="dxa"/>
                        <w:gridSpan w:val="2"/>
                        <w:tcBorders>
                          <w:top w:val="single" w:sz="4"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2 </w:t>
                        </w:r>
                      </w:p>
                    </w:tc>
                  </w:tr>
                </w:tbl>
              </w:txbxContent>
            </v:textbox>
            <w10:wrap type="through" anchorx="page" anchory="page"/>
          </v:shape>
        </w:pict>
      </w:r>
    </w:p>
    <w:p w:rsidR="00F67382" w:rsidRDefault="00F67382" w:rsidP="00F67382">
      <w:pPr>
        <w:pStyle w:val="CM60"/>
        <w:spacing w:after="256"/>
        <w:jc w:val="both"/>
        <w:rPr>
          <w:rFonts w:ascii="GPLNMC+Arial,Bold" w:hAnsi="GPLNMC+Arial,Bold" w:cs="GPLNMC+Arial,Bold"/>
          <w:sz w:val="32"/>
          <w:szCs w:val="32"/>
        </w:rPr>
      </w:pPr>
      <w:r>
        <w:rPr>
          <w:rFonts w:ascii="GPLNMC+Arial,Bold" w:hAnsi="GPLNMC+Arial,Bold" w:cs="GPLNMC+Arial,Bold"/>
          <w:b/>
          <w:bCs/>
          <w:sz w:val="32"/>
          <w:szCs w:val="32"/>
        </w:rPr>
        <w:t xml:space="preserve">2. CAMP &amp; EXPLORATION OPERATIONS </w:t>
      </w:r>
    </w:p>
    <w:p w:rsidR="00F67382" w:rsidRDefault="00F67382" w:rsidP="00F67382">
      <w:pPr>
        <w:pStyle w:val="CM60"/>
        <w:spacing w:after="302" w:line="300" w:lineRule="atLeast"/>
        <w:jc w:val="both"/>
        <w:rPr>
          <w:rFonts w:ascii="GPLOAH+TimesNewRoman" w:hAnsi="GPLOAH+TimesNewRoman" w:cs="GPLOAH+TimesNewRoman"/>
          <w:sz w:val="22"/>
          <w:szCs w:val="22"/>
        </w:rPr>
      </w:pPr>
      <w:r>
        <w:rPr>
          <w:rFonts w:ascii="GPLOAH+TimesNewRoman" w:hAnsi="GPLOAH+TimesNewRoman" w:cs="GPLOAH+TimesNewRoman"/>
          <w:sz w:val="22"/>
          <w:szCs w:val="22"/>
        </w:rPr>
        <w:t xml:space="preserve">The following details maintenance that is completed on a continuing basis throughout the land use operation, seasonal closures, and temporary shutdowns. </w:t>
      </w:r>
    </w:p>
    <w:p w:rsidR="00F67382" w:rsidRDefault="00F67382" w:rsidP="00F67382">
      <w:pPr>
        <w:pStyle w:val="CM8"/>
        <w:jc w:val="both"/>
        <w:rPr>
          <w:rFonts w:ascii="GPLNMC+Arial,Bold" w:hAnsi="GPLNMC+Arial,Bold" w:cs="GPLNMC+Arial,Bold"/>
          <w:sz w:val="22"/>
          <w:szCs w:val="22"/>
        </w:rPr>
      </w:pPr>
      <w:r>
        <w:rPr>
          <w:rFonts w:ascii="GPLNMC+Arial,Bold" w:hAnsi="GPLNMC+Arial,Bold" w:cs="GPLNMC+Arial,Bold"/>
          <w:b/>
          <w:bCs/>
          <w:sz w:val="22"/>
          <w:szCs w:val="22"/>
        </w:rPr>
        <w:t xml:space="preserve">2.1 Campsite </w:t>
      </w:r>
    </w:p>
    <w:p w:rsidR="00F67382" w:rsidRDefault="00F67382" w:rsidP="00F67382">
      <w:pPr>
        <w:pStyle w:val="CM60"/>
        <w:spacing w:after="302" w:line="300" w:lineRule="atLeast"/>
        <w:jc w:val="both"/>
        <w:rPr>
          <w:rFonts w:ascii="GPLOAH+TimesNewRoman" w:hAnsi="GPLOAH+TimesNewRoman" w:cs="GPLOAH+TimesNewRoman"/>
          <w:sz w:val="22"/>
          <w:szCs w:val="22"/>
        </w:rPr>
      </w:pPr>
      <w:r>
        <w:rPr>
          <w:rFonts w:ascii="GPLOAH+TimesNewRoman" w:hAnsi="GPLOAH+TimesNewRoman" w:cs="GPLOAH+TimesNewRoman"/>
          <w:sz w:val="22"/>
          <w:szCs w:val="22"/>
        </w:rPr>
        <w:t xml:space="preserve">The camp will be maintained in a tidy and orderly fashion. Upon arriving at the camp, all staff will be trained in camp rules such as the Spill Contingency Plan, camp operations, and waste management.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Pr>
          <w:rFonts w:ascii="GPLOAH+TimesNewRoman" w:hAnsi="GPLOAH+TimesNewRoman" w:cs="GPLOAH+TimesNewRoman"/>
          <w:sz w:val="22"/>
          <w:szCs w:val="22"/>
        </w:rPr>
        <w:t xml:space="preserve">In the case of short term temporary shutdown (less than a year), all portable wooden structures (survival shacks, generator shacks, etc.) will be stored in the campsite area and all portable equipment will be stored in sheds and locked up. The kitchen will be inspected and all food will be removed to decrease the potential for attracting animals. The kitchen, dry and insulated tents will be closed and battened down. All garbage will be incinerated or removed to an approved municipal discharge site in Yellowknife or </w:t>
      </w:r>
      <w:r w:rsidRPr="006142FF">
        <w:rPr>
          <w:rFonts w:ascii="GPLOAH+TimesNewRoman" w:hAnsi="GPLOAH+TimesNewRoman" w:cs="GPLOAH+TimesNewRoman"/>
          <w:sz w:val="22"/>
          <w:szCs w:val="22"/>
        </w:rPr>
        <w:t xml:space="preserve">Kugluktuk. </w:t>
      </w:r>
    </w:p>
    <w:p w:rsidR="00F67382" w:rsidRPr="006142FF" w:rsidRDefault="00F67382" w:rsidP="00F67382">
      <w:pPr>
        <w:pStyle w:val="CM60"/>
        <w:spacing w:after="302" w:line="300" w:lineRule="atLeast"/>
        <w:jc w:val="both"/>
        <w:rPr>
          <w:rFonts w:ascii="GPLNPF+TimesNewRoman,Italic" w:hAnsi="GPLNPF+TimesNewRoman,Italic" w:cs="GPLNPF+TimesNewRoman,Italic"/>
          <w:sz w:val="23"/>
          <w:szCs w:val="23"/>
        </w:rPr>
      </w:pPr>
      <w:r w:rsidRPr="006142FF">
        <w:rPr>
          <w:rFonts w:ascii="GPLNPF+TimesNewRoman,Italic" w:hAnsi="GPLNPF+TimesNewRoman,Italic" w:cs="GPLNPF+TimesNewRoman,Italic"/>
          <w:sz w:val="23"/>
          <w:szCs w:val="23"/>
        </w:rPr>
        <w:t xml:space="preserve">Final inspections of all areas of the site will be conducted prior to the commencement of work and at the end of the camp’s operational period to ensure these sites have been reclaimed as much as possible to its previous condition. Soil samples and pictures before and after the project will be collected to ensure proper records are kept. </w:t>
      </w:r>
    </w:p>
    <w:p w:rsidR="00F67382" w:rsidRDefault="00F67382" w:rsidP="00F67382">
      <w:pPr>
        <w:pStyle w:val="CM8"/>
        <w:spacing w:after="3145"/>
        <w:jc w:val="both"/>
      </w:pPr>
      <w:r w:rsidRPr="006142FF">
        <w:rPr>
          <w:rFonts w:ascii="GPLOAH+TimesNewRoman" w:hAnsi="GPLOAH+TimesNewRoman" w:cs="GPLOAH+TimesNewRoman"/>
          <w:sz w:val="22"/>
          <w:szCs w:val="22"/>
        </w:rPr>
        <w:t>Tables 2-1 and 2-2 show the building and equipment inventory to</w:t>
      </w:r>
      <w:r>
        <w:rPr>
          <w:rFonts w:ascii="GPLOAH+TimesNewRoman" w:hAnsi="GPLOAH+TimesNewRoman" w:cs="GPLOAH+TimesNewRoman"/>
          <w:color w:val="000000"/>
          <w:sz w:val="22"/>
          <w:szCs w:val="22"/>
        </w:rPr>
        <w:t xml:space="preserve"> be left on site in a temporary closure. </w:t>
      </w:r>
    </w:p>
    <w:p w:rsidR="00F67382" w:rsidRDefault="00F67382" w:rsidP="00F67382">
      <w:pPr>
        <w:pStyle w:val="Default"/>
        <w:rPr>
          <w:rFonts w:ascii="GPLNMC+Arial,Bold" w:hAnsi="GPLNMC+Arial,Bold" w:cs="GPLNMC+Arial,Bold"/>
          <w:sz w:val="22"/>
          <w:szCs w:val="22"/>
        </w:rPr>
      </w:pPr>
      <w:r>
        <w:rPr>
          <w:rFonts w:ascii="GPLNMC+Arial,Bold" w:hAnsi="GPLNMC+Arial,Bold" w:cs="GPLNMC+Arial,Bold"/>
          <w:b/>
          <w:bCs/>
          <w:sz w:val="22"/>
          <w:szCs w:val="22"/>
        </w:rPr>
        <w:lastRenderedPageBreak/>
        <w:t xml:space="preserve">2.2 Fuel Storage </w:t>
      </w:r>
    </w:p>
    <w:p w:rsidR="00F67382" w:rsidRDefault="00F67382" w:rsidP="00F67382">
      <w:pPr>
        <w:pStyle w:val="CM60"/>
        <w:spacing w:after="302" w:line="300" w:lineRule="atLeast"/>
        <w:jc w:val="both"/>
        <w:rPr>
          <w:rFonts w:ascii="GPLOAH+TimesNewRoman" w:hAnsi="GPLOAH+TimesNewRoman" w:cs="GPLOAH+TimesNewRoman"/>
          <w:sz w:val="22"/>
          <w:szCs w:val="22"/>
        </w:rPr>
      </w:pPr>
      <w:r>
        <w:rPr>
          <w:rFonts w:ascii="GPLOAH+TimesNewRoman" w:hAnsi="GPLOAH+TimesNewRoman" w:cs="GPLOAH+TimesNewRoman"/>
          <w:sz w:val="22"/>
          <w:szCs w:val="22"/>
        </w:rPr>
        <w:t xml:space="preserve">All fuel storage and handling is guided by the procedures set out in the Spill and Contingency Plan. Empty drums used during the exploration program will be regularly rotated out of camp by fixed wing aircraft in order to be re-filled and then returned to camp during annual pre-exploration resupply programs. Any empty drums that are deemed not fit to hold fuel are back hauled to Kugluktuk and/or Yellowknife and disposed of at approved facilities. </w:t>
      </w:r>
    </w:p>
    <w:p w:rsidR="00F67382" w:rsidRDefault="00F67382" w:rsidP="00F67382">
      <w:pPr>
        <w:pStyle w:val="CM8"/>
        <w:jc w:val="both"/>
        <w:rPr>
          <w:rFonts w:ascii="GPLNMC+Arial,Bold" w:hAnsi="GPLNMC+Arial,Bold" w:cs="GPLNMC+Arial,Bold"/>
          <w:sz w:val="22"/>
          <w:szCs w:val="22"/>
        </w:rPr>
      </w:pPr>
      <w:r>
        <w:rPr>
          <w:rFonts w:ascii="GPLNMC+Arial,Bold" w:hAnsi="GPLNMC+Arial,Bold" w:cs="GPLNMC+Arial,Bold"/>
          <w:b/>
          <w:bCs/>
          <w:sz w:val="22"/>
          <w:szCs w:val="22"/>
        </w:rPr>
        <w:t xml:space="preserve">2.3 Campsite Sewage Disposal </w:t>
      </w:r>
    </w:p>
    <w:p w:rsidR="00F67382" w:rsidRDefault="00F67382" w:rsidP="00F67382">
      <w:pPr>
        <w:pStyle w:val="CM60"/>
        <w:spacing w:after="302" w:line="300" w:lineRule="atLeast"/>
        <w:jc w:val="both"/>
        <w:rPr>
          <w:rFonts w:ascii="GPLOAH+TimesNewRoman" w:hAnsi="GPLOAH+TimesNewRoman" w:cs="GPLOAH+TimesNewRoman"/>
          <w:sz w:val="22"/>
          <w:szCs w:val="22"/>
        </w:rPr>
      </w:pPr>
      <w:proofErr w:type="spellStart"/>
      <w:r>
        <w:rPr>
          <w:rFonts w:ascii="GPLOAH+TimesNewRoman" w:hAnsi="GPLOAH+TimesNewRoman" w:cs="GPLOAH+TimesNewRoman"/>
          <w:sz w:val="22"/>
          <w:szCs w:val="22"/>
        </w:rPr>
        <w:t>Pacto</w:t>
      </w:r>
      <w:proofErr w:type="spellEnd"/>
      <w:r>
        <w:rPr>
          <w:rFonts w:ascii="GPLOAH+TimesNewRoman" w:hAnsi="GPLOAH+TimesNewRoman" w:cs="GPLOAH+TimesNewRoman"/>
          <w:sz w:val="22"/>
          <w:szCs w:val="22"/>
        </w:rPr>
        <w:t xml:space="preserve"> toilet systems will be used at the campsite. These toilets require no electricity, water, or sewage system. A flush foil system is used to encapsulate the waste which is then incinerated daily. In the case of temporary shutdown, all encapsulated waste bags will be removed and incinerated prior to shutting down the camp. </w:t>
      </w:r>
    </w:p>
    <w:p w:rsidR="00F67382" w:rsidRDefault="00F67382" w:rsidP="00F67382">
      <w:pPr>
        <w:pStyle w:val="CM8"/>
        <w:jc w:val="both"/>
        <w:rPr>
          <w:rFonts w:ascii="GPLNMC+Arial,Bold" w:hAnsi="GPLNMC+Arial,Bold" w:cs="GPLNMC+Arial,Bold"/>
          <w:sz w:val="22"/>
          <w:szCs w:val="22"/>
        </w:rPr>
      </w:pPr>
      <w:r>
        <w:rPr>
          <w:rFonts w:ascii="GPLNMC+Arial,Bold" w:hAnsi="GPLNMC+Arial,Bold" w:cs="GPLNMC+Arial,Bold"/>
          <w:b/>
          <w:bCs/>
          <w:sz w:val="22"/>
          <w:szCs w:val="22"/>
        </w:rPr>
        <w:t xml:space="preserve">2.4 Solid Waste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Pr>
          <w:rFonts w:ascii="GPLOAH+TimesNewRoman" w:hAnsi="GPLOAH+TimesNewRoman" w:cs="GPLOAH+TimesNewRoman"/>
          <w:sz w:val="22"/>
          <w:szCs w:val="22"/>
        </w:rPr>
        <w:t xml:space="preserve">All camp and kitchen wastes will be incinerated daily in the camp incinerator. Any waste that cannot be incinerated will be stored in barrels and shipped to Kugluktuk and/or Yellowknife for disposal. In the case </w:t>
      </w:r>
      <w:r w:rsidRPr="006142FF">
        <w:rPr>
          <w:rFonts w:ascii="GPLOAH+TimesNewRoman" w:hAnsi="GPLOAH+TimesNewRoman" w:cs="GPLOAH+TimesNewRoman"/>
          <w:sz w:val="22"/>
          <w:szCs w:val="22"/>
        </w:rPr>
        <w:t xml:space="preserve">of temporary shutdown, all waste will either be incinerated or removed. </w:t>
      </w:r>
    </w:p>
    <w:p w:rsidR="00F67382" w:rsidRPr="006142FF" w:rsidRDefault="00F67382" w:rsidP="00F67382">
      <w:pPr>
        <w:pStyle w:val="CM60"/>
        <w:spacing w:after="302" w:line="300" w:lineRule="atLeast"/>
        <w:jc w:val="both"/>
        <w:rPr>
          <w:rFonts w:ascii="GPLNPF+TimesNewRoman,Italic" w:hAnsi="GPLNPF+TimesNewRoman,Italic" w:cs="GPLNPF+TimesNewRoman,Italic"/>
          <w:sz w:val="23"/>
          <w:szCs w:val="23"/>
        </w:rPr>
      </w:pPr>
      <w:r w:rsidRPr="006142FF">
        <w:rPr>
          <w:rFonts w:ascii="GPLNPF+TimesNewRoman,Italic" w:hAnsi="GPLNPF+TimesNewRoman,Italic" w:cs="GPLNPF+TimesNewRoman,Italic"/>
          <w:sz w:val="23"/>
          <w:szCs w:val="23"/>
        </w:rPr>
        <w:t xml:space="preserve">There will be a comprehensive waste segregation strategy designed to reduce and control the volumes of wastes produced. This strategy includes the separation of non-food waste items suitable for storage and subsequent transport to Kugluktuk and/or Yellowknife for disposal or recycling. </w:t>
      </w:r>
    </w:p>
    <w:p w:rsidR="00F67382" w:rsidRPr="006142FF" w:rsidRDefault="00F67382" w:rsidP="00F67382">
      <w:pPr>
        <w:pStyle w:val="CM60"/>
        <w:spacing w:after="302" w:line="300" w:lineRule="atLeast"/>
        <w:jc w:val="both"/>
        <w:rPr>
          <w:rFonts w:ascii="GPLNPF+TimesNewRoman,Italic" w:hAnsi="GPLNPF+TimesNewRoman,Italic" w:cs="GPLNPF+TimesNewRoman,Italic"/>
          <w:sz w:val="23"/>
          <w:szCs w:val="23"/>
        </w:rPr>
      </w:pPr>
      <w:r w:rsidRPr="006142FF">
        <w:rPr>
          <w:noProof/>
        </w:rPr>
        <w:pict>
          <v:shape id="_x0000_s1028" type="#_x0000_t202" style="position:absolute;left:0;text-align:left;margin-left:55.25pt;margin-top:460pt;width:448pt;height:128pt;z-index:251662336;mso-position-horizontal-relative:page;mso-position-vertical-relative:page" wrapcoords="0 0" o:allowincell="f" filled="f" stroked="f">
            <v:textbox>
              <w:txbxContent>
                <w:tbl>
                  <w:tblPr>
                    <w:tblW w:w="0" w:type="auto"/>
                    <w:tblBorders>
                      <w:top w:val="nil"/>
                      <w:left w:val="nil"/>
                      <w:bottom w:val="nil"/>
                      <w:right w:val="nil"/>
                    </w:tblBorders>
                    <w:tblLayout w:type="fixed"/>
                    <w:tblLook w:val="0000"/>
                  </w:tblPr>
                  <w:tblGrid>
                    <w:gridCol w:w="3075"/>
                    <w:gridCol w:w="877"/>
                    <w:gridCol w:w="2180"/>
                    <w:gridCol w:w="2205"/>
                  </w:tblGrid>
                  <w:tr w:rsidR="00F67382">
                    <w:tblPrEx>
                      <w:tblCellMar>
                        <w:top w:w="0" w:type="dxa"/>
                        <w:bottom w:w="0" w:type="dxa"/>
                      </w:tblCellMar>
                    </w:tblPrEx>
                    <w:trPr>
                      <w:wAfter w:w="961" w:type="dxa"/>
                      <w:trHeight w:val="312"/>
                    </w:trPr>
                    <w:tc>
                      <w:tcPr>
                        <w:tcW w:w="307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Equipment Type </w:t>
                        </w:r>
                      </w:p>
                    </w:tc>
                    <w:tc>
                      <w:tcPr>
                        <w:tcW w:w="877"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Number </w:t>
                        </w:r>
                      </w:p>
                    </w:tc>
                    <w:tc>
                      <w:tcPr>
                        <w:tcW w:w="2180"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Size/Ground/Pressure </w:t>
                        </w:r>
                      </w:p>
                    </w:tc>
                    <w:tc>
                      <w:tcPr>
                        <w:tcW w:w="220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Use </w:t>
                        </w:r>
                      </w:p>
                    </w:tc>
                  </w:tr>
                  <w:tr w:rsidR="00F67382">
                    <w:tblPrEx>
                      <w:tblCellMar>
                        <w:top w:w="0" w:type="dxa"/>
                        <w:bottom w:w="0" w:type="dxa"/>
                      </w:tblCellMar>
                    </w:tblPrEx>
                    <w:trPr>
                      <w:wAfter w:w="961" w:type="dxa"/>
                      <w:trHeight w:val="432"/>
                    </w:trPr>
                    <w:tc>
                      <w:tcPr>
                        <w:tcW w:w="307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Caterpillar D6M with Low-ground pressure tracks (LGP) </w:t>
                        </w:r>
                      </w:p>
                    </w:tc>
                    <w:tc>
                      <w:tcPr>
                        <w:tcW w:w="877"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 </w:t>
                        </w:r>
                      </w:p>
                    </w:tc>
                    <w:tc>
                      <w:tcPr>
                        <w:tcW w:w="2180"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15, 000kg/4.71 psi </w:t>
                        </w:r>
                      </w:p>
                    </w:tc>
                    <w:tc>
                      <w:tcPr>
                        <w:tcW w:w="220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Site maintenance &amp; ice airstrip construction </w:t>
                        </w:r>
                      </w:p>
                    </w:tc>
                  </w:tr>
                  <w:tr w:rsidR="00F67382">
                    <w:tblPrEx>
                      <w:tblCellMar>
                        <w:top w:w="0" w:type="dxa"/>
                        <w:bottom w:w="0" w:type="dxa"/>
                      </w:tblCellMar>
                    </w:tblPrEx>
                    <w:trPr>
                      <w:wAfter w:w="961" w:type="dxa"/>
                      <w:trHeight w:val="435"/>
                    </w:trPr>
                    <w:tc>
                      <w:tcPr>
                        <w:tcW w:w="307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Sled</w:t>
                        </w:r>
                      </w:p>
                    </w:tc>
                    <w:tc>
                      <w:tcPr>
                        <w:tcW w:w="877"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 1 </w:t>
                        </w:r>
                      </w:p>
                    </w:tc>
                    <w:tc>
                      <w:tcPr>
                        <w:tcW w:w="2180"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2 ,300kg/5cm ground indent </w:t>
                        </w:r>
                      </w:p>
                    </w:tc>
                    <w:tc>
                      <w:tcPr>
                        <w:tcW w:w="220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Site maintenance &amp; ice airstrip construction </w:t>
                        </w:r>
                      </w:p>
                    </w:tc>
                  </w:tr>
                  <w:tr w:rsidR="00F67382">
                    <w:tblPrEx>
                      <w:tblCellMar>
                        <w:top w:w="0" w:type="dxa"/>
                        <w:bottom w:w="0" w:type="dxa"/>
                      </w:tblCellMar>
                    </w:tblPrEx>
                    <w:trPr>
                      <w:wAfter w:w="961" w:type="dxa"/>
                      <w:trHeight w:val="432"/>
                    </w:trPr>
                    <w:tc>
                      <w:tcPr>
                        <w:tcW w:w="307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Bobcat</w:t>
                        </w:r>
                      </w:p>
                    </w:tc>
                    <w:tc>
                      <w:tcPr>
                        <w:tcW w:w="877"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 1 </w:t>
                        </w:r>
                      </w:p>
                    </w:tc>
                    <w:tc>
                      <w:tcPr>
                        <w:tcW w:w="2180" w:type="dxa"/>
                        <w:tcBorders>
                          <w:top w:val="single" w:sz="6" w:space="0" w:color="000000"/>
                          <w:left w:val="single" w:sz="4" w:space="0" w:color="000000"/>
                          <w:bottom w:val="single" w:sz="6" w:space="0" w:color="000000"/>
                          <w:right w:val="single" w:sz="4" w:space="0" w:color="000000"/>
                        </w:tcBorders>
                      </w:tcPr>
                      <w:p w:rsidR="00F67382" w:rsidRDefault="00F67382">
                        <w:pPr>
                          <w:pStyle w:val="Default"/>
                          <w:rPr>
                            <w:rFonts w:cstheme="minorBidi"/>
                            <w:color w:val="auto"/>
                          </w:rPr>
                        </w:pPr>
                      </w:p>
                    </w:tc>
                    <w:tc>
                      <w:tcPr>
                        <w:tcW w:w="220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Site maintenance &amp; ice airstrip construction </w:t>
                        </w:r>
                      </w:p>
                    </w:tc>
                  </w:tr>
                  <w:tr w:rsidR="00F67382">
                    <w:tblPrEx>
                      <w:tblCellMar>
                        <w:top w:w="0" w:type="dxa"/>
                        <w:bottom w:w="0" w:type="dxa"/>
                      </w:tblCellMar>
                    </w:tblPrEx>
                    <w:trPr>
                      <w:wAfter w:w="961" w:type="dxa"/>
                      <w:trHeight w:val="432"/>
                    </w:trPr>
                    <w:tc>
                      <w:tcPr>
                        <w:tcW w:w="307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Snowmobiles </w:t>
                        </w:r>
                      </w:p>
                    </w:tc>
                    <w:tc>
                      <w:tcPr>
                        <w:tcW w:w="877"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15 </w:t>
                        </w:r>
                      </w:p>
                    </w:tc>
                    <w:tc>
                      <w:tcPr>
                        <w:tcW w:w="2180"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Various/minimal </w:t>
                        </w:r>
                      </w:p>
                    </w:tc>
                    <w:tc>
                      <w:tcPr>
                        <w:tcW w:w="220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Transportation </w:t>
                        </w:r>
                      </w:p>
                    </w:tc>
                  </w:tr>
                  <w:tr w:rsidR="00F67382">
                    <w:tblPrEx>
                      <w:tblCellMar>
                        <w:top w:w="0" w:type="dxa"/>
                        <w:bottom w:w="0" w:type="dxa"/>
                      </w:tblCellMar>
                    </w:tblPrEx>
                    <w:trPr>
                      <w:wAfter w:w="961" w:type="dxa"/>
                      <w:trHeight w:val="432"/>
                    </w:trPr>
                    <w:tc>
                      <w:tcPr>
                        <w:tcW w:w="307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proofErr w:type="spellStart"/>
                        <w:r>
                          <w:rPr>
                            <w:rFonts w:ascii="GPLNNE+Arial" w:hAnsi="GPLNNE+Arial" w:cs="GPLNNE+Arial"/>
                            <w:sz w:val="18"/>
                            <w:szCs w:val="18"/>
                          </w:rPr>
                          <w:t>Hydracore</w:t>
                        </w:r>
                        <w:proofErr w:type="spellEnd"/>
                        <w:r>
                          <w:rPr>
                            <w:rFonts w:ascii="GPLNNE+Arial" w:hAnsi="GPLNNE+Arial" w:cs="GPLNNE+Arial"/>
                            <w:sz w:val="18"/>
                            <w:szCs w:val="18"/>
                          </w:rPr>
                          <w:t xml:space="preserve"> 2000 diamond drill </w:t>
                        </w:r>
                      </w:p>
                    </w:tc>
                    <w:tc>
                      <w:tcPr>
                        <w:tcW w:w="877"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jc w:val="center"/>
                          <w:rPr>
                            <w:rFonts w:ascii="GPLNNE+Arial" w:hAnsi="GPLNNE+Arial" w:cs="GPLNNE+Arial"/>
                            <w:sz w:val="18"/>
                            <w:szCs w:val="18"/>
                          </w:rPr>
                        </w:pPr>
                        <w:r>
                          <w:rPr>
                            <w:rFonts w:ascii="GPLNNE+Arial" w:hAnsi="GPLNNE+Arial" w:cs="GPLNNE+Arial"/>
                            <w:sz w:val="18"/>
                            <w:szCs w:val="18"/>
                          </w:rPr>
                          <w:t xml:space="preserve">2 </w:t>
                        </w:r>
                      </w:p>
                    </w:tc>
                    <w:tc>
                      <w:tcPr>
                        <w:tcW w:w="2180"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Maximum depth of 800m with BTW </w:t>
                        </w:r>
                      </w:p>
                    </w:tc>
                    <w:tc>
                      <w:tcPr>
                        <w:tcW w:w="2205" w:type="dxa"/>
                        <w:tcBorders>
                          <w:top w:val="single" w:sz="6" w:space="0" w:color="000000"/>
                          <w:left w:val="single" w:sz="4" w:space="0" w:color="000000"/>
                          <w:bottom w:val="single" w:sz="6" w:space="0" w:color="000000"/>
                          <w:right w:val="single" w:sz="4" w:space="0" w:color="000000"/>
                        </w:tcBorders>
                        <w:vAlign w:val="center"/>
                      </w:tcPr>
                      <w:p w:rsidR="00F67382" w:rsidRDefault="00F67382">
                        <w:pPr>
                          <w:pStyle w:val="Default"/>
                          <w:rPr>
                            <w:rFonts w:ascii="GPLNNE+Arial" w:hAnsi="GPLNNE+Arial" w:cs="GPLNNE+Arial"/>
                            <w:sz w:val="18"/>
                            <w:szCs w:val="18"/>
                          </w:rPr>
                        </w:pPr>
                        <w:r>
                          <w:rPr>
                            <w:rFonts w:ascii="GPLNNE+Arial" w:hAnsi="GPLNNE+Arial" w:cs="GPLNNE+Arial"/>
                            <w:sz w:val="18"/>
                            <w:szCs w:val="18"/>
                          </w:rPr>
                          <w:t xml:space="preserve">Drilling </w:t>
                        </w:r>
                      </w:p>
                    </w:tc>
                  </w:tr>
                </w:tbl>
              </w:txbxContent>
            </v:textbox>
            <w10:wrap type="through" anchorx="page" anchory="page"/>
          </v:shape>
        </w:pict>
      </w:r>
      <w:r w:rsidRPr="006142FF">
        <w:rPr>
          <w:rFonts w:ascii="GPLNPF+TimesNewRoman,Italic" w:hAnsi="GPLNPF+TimesNewRoman,Italic" w:cs="GPLNPF+TimesNewRoman,Italic"/>
          <w:sz w:val="23"/>
          <w:szCs w:val="23"/>
        </w:rPr>
        <w:t xml:space="preserve">A dual chamber, forced-air incinerator will be operated to ensure complete combustion of wastes. Appropriate training will be provided to all personal working with and in the vicinity of the incinerator. </w:t>
      </w:r>
    </w:p>
    <w:p w:rsidR="00F67382" w:rsidRPr="006142FF" w:rsidRDefault="00F67382" w:rsidP="00F67382">
      <w:pPr>
        <w:pStyle w:val="CM60"/>
        <w:spacing w:after="302" w:line="300" w:lineRule="atLeast"/>
        <w:jc w:val="both"/>
        <w:rPr>
          <w:rFonts w:ascii="GPLNPF+TimesNewRoman,Italic" w:hAnsi="GPLNPF+TimesNewRoman,Italic" w:cs="GPLNPF+TimesNewRoman,Italic"/>
          <w:sz w:val="23"/>
          <w:szCs w:val="23"/>
        </w:rPr>
      </w:pPr>
      <w:r w:rsidRPr="006142FF">
        <w:rPr>
          <w:rFonts w:ascii="GPLNPF+TimesNewRoman,Italic" w:hAnsi="GPLNPF+TimesNewRoman,Italic" w:cs="GPLNPF+TimesNewRoman,Italic"/>
          <w:sz w:val="23"/>
          <w:szCs w:val="23"/>
        </w:rPr>
        <w:t xml:space="preserve">The following solid waste will be separated for transport to Kugluktuk and/or Yellowknife for disposal and recycling (i.e. not to be incinerated): </w:t>
      </w:r>
    </w:p>
    <w:p w:rsidR="00F67382" w:rsidRPr="006142FF" w:rsidRDefault="00F67382" w:rsidP="00F67382">
      <w:pPr>
        <w:pStyle w:val="CM9"/>
        <w:ind w:left="360"/>
        <w:jc w:val="both"/>
        <w:rPr>
          <w:rFonts w:ascii="GPLNPF+TimesNewRoman,Italic" w:hAnsi="GPLNPF+TimesNewRoman,Italic" w:cs="GPLNPF+TimesNewRoman,Italic"/>
          <w:sz w:val="23"/>
          <w:szCs w:val="23"/>
        </w:rPr>
      </w:pPr>
      <w:r w:rsidRPr="006142FF">
        <w:rPr>
          <w:rFonts w:ascii="GPLNNE+Arial" w:hAnsi="GPLNNE+Arial" w:cs="GPLNNE+Arial"/>
          <w:sz w:val="23"/>
          <w:szCs w:val="23"/>
        </w:rPr>
        <w:t>-</w:t>
      </w:r>
      <w:r w:rsidRPr="006142FF">
        <w:rPr>
          <w:rFonts w:ascii="GPLNPF+TimesNewRoman,Italic" w:hAnsi="GPLNPF+TimesNewRoman,Italic" w:cs="GPLNPF+TimesNewRoman,Italic"/>
          <w:sz w:val="23"/>
          <w:szCs w:val="23"/>
        </w:rPr>
        <w:t xml:space="preserve">Waste wood treated with preservatives such as creosote, pentachlorophenol </w:t>
      </w:r>
    </w:p>
    <w:p w:rsidR="00F67382" w:rsidRPr="006142FF" w:rsidRDefault="00F67382" w:rsidP="00F67382">
      <w:pPr>
        <w:pStyle w:val="CM9"/>
        <w:ind w:left="360"/>
        <w:jc w:val="both"/>
        <w:rPr>
          <w:rFonts w:ascii="GPLNPF+TimesNewRoman,Italic" w:hAnsi="GPLNPF+TimesNewRoman,Italic" w:cs="GPLNPF+TimesNewRoman,Italic"/>
          <w:sz w:val="23"/>
          <w:szCs w:val="23"/>
        </w:rPr>
      </w:pPr>
      <w:r w:rsidRPr="006142FF">
        <w:rPr>
          <w:rFonts w:ascii="GPLNNE+Arial" w:hAnsi="GPLNNE+Arial" w:cs="GPLNNE+Arial"/>
          <w:sz w:val="23"/>
          <w:szCs w:val="23"/>
        </w:rPr>
        <w:t>-</w:t>
      </w:r>
      <w:r w:rsidRPr="006142FF">
        <w:rPr>
          <w:rFonts w:ascii="GPLNPF+TimesNewRoman,Italic" w:hAnsi="GPLNPF+TimesNewRoman,Italic" w:cs="GPLNPF+TimesNewRoman,Italic"/>
          <w:sz w:val="23"/>
          <w:szCs w:val="23"/>
        </w:rPr>
        <w:t xml:space="preserve">Heavy metal solutions should not be burned </w:t>
      </w:r>
    </w:p>
    <w:p w:rsidR="00F67382" w:rsidRPr="006142FF" w:rsidRDefault="00F67382" w:rsidP="00F67382">
      <w:pPr>
        <w:pStyle w:val="CM9"/>
        <w:ind w:left="360"/>
        <w:jc w:val="both"/>
        <w:rPr>
          <w:rFonts w:ascii="GPLNPF+TimesNewRoman,Italic" w:hAnsi="GPLNPF+TimesNewRoman,Italic" w:cs="GPLNPF+TimesNewRoman,Italic"/>
          <w:sz w:val="23"/>
          <w:szCs w:val="23"/>
        </w:rPr>
      </w:pPr>
      <w:r w:rsidRPr="006142FF">
        <w:rPr>
          <w:rFonts w:ascii="GPLNNE+Arial" w:hAnsi="GPLNNE+Arial" w:cs="GPLNNE+Arial"/>
          <w:sz w:val="23"/>
          <w:szCs w:val="23"/>
        </w:rPr>
        <w:t>-</w:t>
      </w:r>
      <w:r w:rsidRPr="006142FF">
        <w:rPr>
          <w:rFonts w:ascii="GPLNPF+TimesNewRoman,Italic" w:hAnsi="GPLNPF+TimesNewRoman,Italic" w:cs="GPLNPF+TimesNewRoman,Italic"/>
          <w:sz w:val="23"/>
          <w:szCs w:val="23"/>
        </w:rPr>
        <w:t xml:space="preserve">Plastics </w:t>
      </w:r>
    </w:p>
    <w:p w:rsidR="00F67382" w:rsidRPr="006142FF" w:rsidRDefault="00F67382" w:rsidP="00F67382">
      <w:pPr>
        <w:pStyle w:val="CM9"/>
        <w:ind w:left="360"/>
        <w:jc w:val="both"/>
        <w:rPr>
          <w:rFonts w:ascii="GPLNPF+TimesNewRoman,Italic" w:hAnsi="GPLNPF+TimesNewRoman,Italic" w:cs="GPLNPF+TimesNewRoman,Italic"/>
          <w:sz w:val="23"/>
          <w:szCs w:val="23"/>
        </w:rPr>
      </w:pPr>
      <w:r w:rsidRPr="006142FF">
        <w:rPr>
          <w:rFonts w:ascii="GPLNNE+Arial" w:hAnsi="GPLNNE+Arial" w:cs="GPLNNE+Arial"/>
          <w:sz w:val="23"/>
          <w:szCs w:val="23"/>
        </w:rPr>
        <w:t>-</w:t>
      </w:r>
      <w:r w:rsidRPr="006142FF">
        <w:rPr>
          <w:rFonts w:ascii="GPLNPF+TimesNewRoman,Italic" w:hAnsi="GPLNPF+TimesNewRoman,Italic" w:cs="GPLNPF+TimesNewRoman,Italic"/>
          <w:sz w:val="23"/>
          <w:szCs w:val="23"/>
        </w:rPr>
        <w:t xml:space="preserve">Electrical wire </w:t>
      </w:r>
    </w:p>
    <w:p w:rsidR="00F67382" w:rsidRPr="006142FF" w:rsidRDefault="00F67382" w:rsidP="00F67382">
      <w:pPr>
        <w:pStyle w:val="CM9"/>
        <w:ind w:left="360"/>
        <w:jc w:val="both"/>
        <w:rPr>
          <w:rFonts w:ascii="GPLNPF+TimesNewRoman,Italic" w:hAnsi="GPLNPF+TimesNewRoman,Italic" w:cs="GPLNPF+TimesNewRoman,Italic"/>
          <w:sz w:val="23"/>
          <w:szCs w:val="23"/>
        </w:rPr>
      </w:pPr>
      <w:r w:rsidRPr="006142FF">
        <w:rPr>
          <w:rFonts w:ascii="GPLNNE+Arial" w:hAnsi="GPLNNE+Arial" w:cs="GPLNNE+Arial"/>
          <w:sz w:val="23"/>
          <w:szCs w:val="23"/>
        </w:rPr>
        <w:t>-</w:t>
      </w:r>
      <w:r w:rsidRPr="006142FF">
        <w:rPr>
          <w:rFonts w:ascii="GPLNPF+TimesNewRoman,Italic" w:hAnsi="GPLNPF+TimesNewRoman,Italic" w:cs="GPLNPF+TimesNewRoman,Italic"/>
          <w:sz w:val="23"/>
          <w:szCs w:val="23"/>
        </w:rPr>
        <w:t xml:space="preserve">Asbestos and building demolition wastes (except clean wood) </w:t>
      </w:r>
    </w:p>
    <w:p w:rsidR="00F67382" w:rsidRPr="006142FF" w:rsidRDefault="00F67382" w:rsidP="00F67382">
      <w:pPr>
        <w:pStyle w:val="CM60"/>
        <w:spacing w:after="302" w:line="298" w:lineRule="atLeast"/>
        <w:ind w:left="360"/>
        <w:jc w:val="both"/>
        <w:rPr>
          <w:rFonts w:ascii="GPLNPF+TimesNewRoman,Italic" w:hAnsi="GPLNPF+TimesNewRoman,Italic" w:cs="GPLNPF+TimesNewRoman,Italic"/>
          <w:sz w:val="23"/>
          <w:szCs w:val="23"/>
        </w:rPr>
      </w:pPr>
      <w:r w:rsidRPr="006142FF">
        <w:rPr>
          <w:rFonts w:ascii="GPLNNE+Arial" w:hAnsi="GPLNNE+Arial" w:cs="GPLNNE+Arial"/>
          <w:sz w:val="23"/>
          <w:szCs w:val="23"/>
        </w:rPr>
        <w:lastRenderedPageBreak/>
        <w:t>-</w:t>
      </w:r>
      <w:r w:rsidRPr="006142FF">
        <w:rPr>
          <w:rFonts w:ascii="GPLNPF+TimesNewRoman,Italic" w:hAnsi="GPLNPF+TimesNewRoman,Italic" w:cs="GPLNPF+TimesNewRoman,Italic"/>
          <w:sz w:val="23"/>
          <w:szCs w:val="23"/>
        </w:rPr>
        <w:t xml:space="preserve">Other solid wastes that may be deemed hazardous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2.5 Waste Oil </w:t>
      </w:r>
    </w:p>
    <w:p w:rsidR="00F67382" w:rsidRPr="006142FF" w:rsidRDefault="00F67382" w:rsidP="00F67382">
      <w:pPr>
        <w:pStyle w:val="CM65"/>
        <w:spacing w:after="1055"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Waste oil volumes from the camp and related activities will be incinerated or used for heating purposes. In the case of temporary shutdown, all waste oil will be incinerated.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2.6 Hazardous Waste </w:t>
      </w:r>
    </w:p>
    <w:p w:rsidR="00F67382" w:rsidRPr="006142FF" w:rsidRDefault="00F67382" w:rsidP="00F67382">
      <w:pPr>
        <w:pStyle w:val="CM60"/>
        <w:spacing w:after="302" w:line="300" w:lineRule="atLeast"/>
        <w:jc w:val="both"/>
        <w:rPr>
          <w:rFonts w:ascii="GPLNPF+TimesNewRoman,Italic" w:hAnsi="GPLNPF+TimesNewRoman,Italic" w:cs="GPLNPF+TimesNewRoman,Italic"/>
          <w:sz w:val="22"/>
          <w:szCs w:val="22"/>
        </w:rPr>
      </w:pPr>
      <w:r w:rsidRPr="006142FF">
        <w:rPr>
          <w:rFonts w:ascii="GPLNPF+TimesNewRoman,Italic" w:hAnsi="GPLNPF+TimesNewRoman,Italic" w:cs="GPLNPF+TimesNewRoman,Italic"/>
          <w:sz w:val="22"/>
          <w:szCs w:val="22"/>
        </w:rPr>
        <w:t>Hazardous waste will be separated for transport to Kugluktuk and/</w:t>
      </w:r>
      <w:proofErr w:type="spellStart"/>
      <w:r w:rsidRPr="006142FF">
        <w:rPr>
          <w:rFonts w:ascii="GPLNPF+TimesNewRoman,Italic" w:hAnsi="GPLNPF+TimesNewRoman,Italic" w:cs="GPLNPF+TimesNewRoman,Italic"/>
          <w:sz w:val="22"/>
          <w:szCs w:val="22"/>
        </w:rPr>
        <w:t>ore</w:t>
      </w:r>
      <w:proofErr w:type="spellEnd"/>
      <w:r w:rsidRPr="006142FF">
        <w:rPr>
          <w:rFonts w:ascii="GPLNPF+TimesNewRoman,Italic" w:hAnsi="GPLNPF+TimesNewRoman,Italic" w:cs="GPLNPF+TimesNewRoman,Italic"/>
          <w:sz w:val="22"/>
          <w:szCs w:val="22"/>
        </w:rPr>
        <w:t xml:space="preserve"> Yellowknife for disposal and recycling. Heavy metal solutions and other waste that is suspected too produce dioxins and furans when burned will be excluded from incineration.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Waste oil volumes from the camp and related activities will be less than 0.04 cubic </w:t>
      </w:r>
      <w:proofErr w:type="spellStart"/>
      <w:r w:rsidRPr="006142FF">
        <w:rPr>
          <w:rFonts w:ascii="GPLOAH+TimesNewRoman" w:hAnsi="GPLOAH+TimesNewRoman" w:cs="GPLOAH+TimesNewRoman"/>
          <w:sz w:val="22"/>
          <w:szCs w:val="22"/>
        </w:rPr>
        <w:t>metres</w:t>
      </w:r>
      <w:proofErr w:type="spellEnd"/>
      <w:r w:rsidRPr="006142FF">
        <w:rPr>
          <w:rFonts w:ascii="GPLOAH+TimesNewRoman" w:hAnsi="GPLOAH+TimesNewRoman" w:cs="GPLOAH+TimesNewRoman"/>
          <w:sz w:val="22"/>
          <w:szCs w:val="22"/>
        </w:rPr>
        <w:t xml:space="preserve"> per week. Waste oil will be incinerated or used for heating purposes.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Uranium may be encountered in the drill cores for Bear Valley Project only. </w:t>
      </w:r>
      <w:proofErr w:type="gramStart"/>
      <w:r w:rsidRPr="006142FF">
        <w:rPr>
          <w:rFonts w:ascii="GPLOAH+TimesNewRoman" w:hAnsi="GPLOAH+TimesNewRoman" w:cs="GPLOAH+TimesNewRoman"/>
          <w:sz w:val="22"/>
          <w:szCs w:val="22"/>
        </w:rPr>
        <w:t>currently</w:t>
      </w:r>
      <w:proofErr w:type="gramEnd"/>
      <w:r w:rsidRPr="006142FF">
        <w:rPr>
          <w:rFonts w:ascii="GPLOAH+TimesNewRoman" w:hAnsi="GPLOAH+TimesNewRoman" w:cs="GPLOAH+TimesNewRoman"/>
          <w:sz w:val="22"/>
          <w:szCs w:val="22"/>
        </w:rPr>
        <w:t xml:space="preserve"> holds Nunavut Waste Generator # NUG 100022 (attached in the appendices). All such waste will be documented and transported from the Project Area for proper disposal. The same individual in charge of documenting the hazardous wastes will have completed a course in the Transportation of Dangerous Goods specifically designed to train geologists in the safe transport of nuclear substances. </w:t>
      </w:r>
    </w:p>
    <w:p w:rsidR="00F67382" w:rsidRPr="006142FF" w:rsidRDefault="00F67382" w:rsidP="00F67382">
      <w:pPr>
        <w:pStyle w:val="CM8"/>
        <w:jc w:val="both"/>
        <w:rPr>
          <w:rFonts w:ascii="GPLOAH+TimesNewRoman" w:hAnsi="GPLOAH+TimesNewRoman" w:cs="GPLOAH+TimesNewRoman"/>
          <w:sz w:val="22"/>
          <w:szCs w:val="22"/>
        </w:rPr>
      </w:pPr>
      <w:r w:rsidRPr="006142FF">
        <w:rPr>
          <w:rFonts w:ascii="GPLOAH+TimesNewRoman" w:hAnsi="GPLOAH+TimesNewRoman" w:cs="GPLOAH+TimesNewRoman"/>
          <w:sz w:val="22"/>
          <w:szCs w:val="22"/>
        </w:rPr>
        <w:t>For the long term storage of drill core, radiation levels will be reduced to less than 1.0 µ</w:t>
      </w:r>
      <w:proofErr w:type="spellStart"/>
      <w:r w:rsidRPr="006142FF">
        <w:rPr>
          <w:rFonts w:ascii="GPLOAH+TimesNewRoman" w:hAnsi="GPLOAH+TimesNewRoman" w:cs="GPLOAH+TimesNewRoman"/>
          <w:sz w:val="22"/>
          <w:szCs w:val="22"/>
        </w:rPr>
        <w:t>Sv</w:t>
      </w:r>
      <w:proofErr w:type="spellEnd"/>
      <w:r w:rsidRPr="006142FF">
        <w:rPr>
          <w:rFonts w:ascii="GPLOAH+TimesNewRoman" w:hAnsi="GPLOAH+TimesNewRoman" w:cs="GPLOAH+TimesNewRoman"/>
          <w:sz w:val="22"/>
          <w:szCs w:val="22"/>
        </w:rPr>
        <w:t xml:space="preserve"> measured at </w:t>
      </w:r>
    </w:p>
    <w:p w:rsidR="00F67382" w:rsidRPr="006142FF" w:rsidRDefault="00F67382" w:rsidP="00F67382">
      <w:pPr>
        <w:pStyle w:val="Default"/>
        <w:spacing w:after="273"/>
        <w:rPr>
          <w:rFonts w:ascii="GPLOAH+TimesNewRoman" w:hAnsi="GPLOAH+TimesNewRoman" w:cs="GPLOAH+TimesNewRoman"/>
          <w:color w:val="auto"/>
          <w:sz w:val="23"/>
          <w:szCs w:val="23"/>
        </w:rPr>
      </w:pPr>
      <w:r w:rsidRPr="006142FF">
        <w:rPr>
          <w:rFonts w:ascii="GPLOAH+TimesNewRoman" w:hAnsi="GPLOAH+TimesNewRoman" w:cs="GPLOAH+TimesNewRoman"/>
          <w:color w:val="auto"/>
          <w:sz w:val="22"/>
          <w:szCs w:val="22"/>
        </w:rPr>
        <w:t>1.0 meter from the surface and in no instance will the level be allowed to exceed 2.5 µ</w:t>
      </w:r>
      <w:proofErr w:type="spellStart"/>
      <w:proofErr w:type="gramStart"/>
      <w:r w:rsidRPr="006142FF">
        <w:rPr>
          <w:rFonts w:ascii="GPLOAH+TimesNewRoman" w:hAnsi="GPLOAH+TimesNewRoman" w:cs="GPLOAH+TimesNewRoman"/>
          <w:color w:val="auto"/>
          <w:sz w:val="22"/>
          <w:szCs w:val="22"/>
        </w:rPr>
        <w:t>Sv</w:t>
      </w:r>
      <w:proofErr w:type="spellEnd"/>
      <w:r w:rsidRPr="006142FF">
        <w:rPr>
          <w:rFonts w:ascii="GPLOAH+TimesNewRoman" w:hAnsi="GPLOAH+TimesNewRoman" w:cs="GPLOAH+TimesNewRoman"/>
          <w:color w:val="auto"/>
          <w:sz w:val="22"/>
          <w:szCs w:val="22"/>
        </w:rPr>
        <w:t>.</w:t>
      </w:r>
      <w:proofErr w:type="gramEnd"/>
      <w:r w:rsidRPr="006142FF">
        <w:rPr>
          <w:rFonts w:ascii="GPLOAH+TimesNewRoman" w:hAnsi="GPLOAH+TimesNewRoman" w:cs="GPLOAH+TimesNewRoman"/>
          <w:color w:val="auto"/>
          <w:sz w:val="22"/>
          <w:szCs w:val="22"/>
        </w:rPr>
        <w:t xml:space="preserve"> In practice, it is anticipated that major uranium intersections will be transported to the Saskatchewan Research Council for testing and storage at their nuclear materials storage facility. Please refer to the attached Uranium Exploration Plan</w:t>
      </w:r>
      <w:r w:rsidRPr="006142FF">
        <w:rPr>
          <w:rFonts w:ascii="GPLOAH+TimesNewRoman" w:hAnsi="GPLOAH+TimesNewRoman" w:cs="GPLOAH+TimesNewRoman"/>
          <w:color w:val="auto"/>
          <w:sz w:val="23"/>
          <w:szCs w:val="23"/>
        </w:rPr>
        <w:t xml:space="preserve">. </w:t>
      </w:r>
    </w:p>
    <w:p w:rsidR="00F67382" w:rsidRPr="006142FF" w:rsidRDefault="00F67382" w:rsidP="00F67382">
      <w:pPr>
        <w:pStyle w:val="Default"/>
        <w:rPr>
          <w:rFonts w:ascii="GPLNMC+Arial,Bold" w:hAnsi="GPLNMC+Arial,Bold" w:cs="GPLNMC+Arial,Bold"/>
          <w:color w:val="auto"/>
          <w:sz w:val="22"/>
          <w:szCs w:val="22"/>
        </w:rPr>
      </w:pPr>
      <w:r w:rsidRPr="006142FF">
        <w:rPr>
          <w:rFonts w:ascii="GPLNMC+Arial,Bold" w:hAnsi="GPLNMC+Arial,Bold" w:cs="GPLNMC+Arial,Bold"/>
          <w:b/>
          <w:bCs/>
          <w:color w:val="auto"/>
          <w:sz w:val="22"/>
          <w:szCs w:val="22"/>
        </w:rPr>
        <w:t xml:space="preserve">2.7 Drill Holes </w:t>
      </w:r>
    </w:p>
    <w:p w:rsidR="00F67382" w:rsidRPr="006142FF" w:rsidRDefault="00F67382" w:rsidP="00F67382">
      <w:pPr>
        <w:pStyle w:val="Default"/>
        <w:rPr>
          <w:rFonts w:ascii="GPLNMC+Arial,Bold" w:hAnsi="GPLNMC+Arial,Bold" w:cs="GPLNMC+Arial,Bold"/>
          <w:color w:val="auto"/>
          <w:sz w:val="22"/>
          <w:szCs w:val="22"/>
        </w:rPr>
      </w:pP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All drill sites are cleaned and maintained on a daily basis. Waste materials, garbage and any empty drums or propane cylinders are routinely returned to camp for incineration or removal to Kugluktuk and/or Yellowknife. Upon completion of an individual drill hole the drill rig and supplies are moved to a new site and the drill set up is cleaned of any debris and the area returned, as close as possible, to a pre disturbed state. In the case of temporary shutdown, all drill sites will be cleaned.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2.8 Drill Cores and Sumps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All drill cores are collected and will be stored within the drill-core area of the camp. Water used during the drilling will be disposed of in natural depressions or sumps, at least 100m from the high water mark of any water body.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2.9 Bulky Items/Scrap Metal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Scrap metal in the form of drill rods will be removed to Kugluktuk and/or Yellowknife on a regular </w:t>
      </w:r>
      <w:r w:rsidRPr="006142FF">
        <w:rPr>
          <w:rFonts w:ascii="GPLOAH+TimesNewRoman" w:hAnsi="GPLOAH+TimesNewRoman" w:cs="GPLOAH+TimesNewRoman"/>
          <w:sz w:val="22"/>
          <w:szCs w:val="22"/>
        </w:rPr>
        <w:lastRenderedPageBreak/>
        <w:t xml:space="preserve">schedule to avoid excessive stockpiling.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2.10 Water Intake </w:t>
      </w:r>
    </w:p>
    <w:p w:rsidR="00F67382" w:rsidRPr="006142FF" w:rsidRDefault="00F67382" w:rsidP="00F67382">
      <w:pPr>
        <w:pStyle w:val="CM63"/>
        <w:spacing w:after="437"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The water intake will be located on McGregor Lake using a ‘hose &amp; float system’ which will suspend the intake pipe on the water surface with the intake located on the float. The intake end of the pipe will be equipped with a screen to avoid fish entrapment. The screen size will be determined following the calculations outlined in DFO’s Freshwater Intake End-of-Pipe Fish Screen Guidelines. In the case of temporary shutdown, the water intake pump will be shut off.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2.11 Helicopter Landing Pad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The helicopter landing pad will be regularly inspected to ensure there is no debris around the area. A drip pan and spill kit is located at the landing pad to be used while re-fuelling the helicopter. In the case of temporary shutdown, all debris will be cleared from around the helicopter pad.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2.12 Generator </w:t>
      </w:r>
    </w:p>
    <w:p w:rsidR="00F67382" w:rsidRPr="006142FF" w:rsidRDefault="00F67382" w:rsidP="00F67382">
      <w:pPr>
        <w:pStyle w:val="CM64"/>
        <w:spacing w:after="800"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The generators will receive regular maintenance. The generator shack will be equipped with a drip pan, spill kit, and absorbent matting should there be a spill of gas while filling the generator. In the case of temporary shutdown, the generators will be turned off, and the shack will be closed and locked. </w:t>
      </w:r>
    </w:p>
    <w:p w:rsidR="00F67382" w:rsidRPr="006142FF" w:rsidRDefault="00F67382" w:rsidP="00F67382">
      <w:pPr>
        <w:pStyle w:val="CM60"/>
        <w:spacing w:after="302"/>
        <w:jc w:val="both"/>
        <w:rPr>
          <w:rFonts w:ascii="GPLNMC+Arial,Bold" w:hAnsi="GPLNMC+Arial,Bold" w:cs="GPLNMC+Arial,Bold"/>
          <w:sz w:val="32"/>
          <w:szCs w:val="32"/>
        </w:rPr>
      </w:pPr>
      <w:r w:rsidRPr="006142FF">
        <w:rPr>
          <w:rFonts w:ascii="GPLNMC+Arial,Bold" w:hAnsi="GPLNMC+Arial,Bold" w:cs="GPLNMC+Arial,Bold"/>
          <w:b/>
          <w:bCs/>
          <w:sz w:val="32"/>
          <w:szCs w:val="32"/>
        </w:rPr>
        <w:t xml:space="preserve">3. FINAL ABANDONMENT AND RESTORATION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The final abandonment and restoration plan provided below includes the time frame, discussion about the camp, discussion regarding fuel storage and re-fuelling areas, grey water disposal, solid waste disposal, waste oil and hazardous wastes disposal, bulky items. In addition, the section discusses abandonment and restoration at drill sites, the water intake system, the helicopter landing pad and generators.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3.1 Time Frame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Projects are still in exploration stage therefore it is not feasible at this time to subscribe to a definitive schedule for the conclusion of this land use operation. Once the projects are terminated or campsite relocation becomes necessary, the following procedures will be followed to allow for proper abandonment and restoration of the project area.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3.2 Camp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When the camp is no longer required all structures erected, temporary buildings, machinery, equipment, materials, fuel drums, storage containers, and any other items used in connection with the camp will either be burned or removed from the site. The disturbed areas will be stabilized and restored as close as possible to a pre-disturbed state. The buildings existing prior to occupying the campsite will remain in place.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3.3 Fuel storage and re-fuelling areas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lastRenderedPageBreak/>
        <w:t xml:space="preserve">Upon closure all fuel drums will be removed and the non-reusable drums will go to the Kugluktuk and/or Yellowknife land fill. The containment system will either be removed or re-contoured, and the area around the secondary containment for fuel storage will be sampled for hydrocarbon contamination. If there is any hydrocarbon contamination resulting from activities the contaminated materials will be removed, the area will be stabilized and restored as close as possible to a pre-disturbed state.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3.4 Grey-water Sump </w:t>
      </w:r>
    </w:p>
    <w:p w:rsidR="00F67382" w:rsidRPr="006142FF" w:rsidRDefault="00F67382" w:rsidP="00F67382">
      <w:pPr>
        <w:pStyle w:val="CM74"/>
        <w:spacing w:after="175"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At time of closure all camp sumps will be backfilled, re-contoured, stabilized, and restored as close as possible to a pre-disturbed state. </w:t>
      </w:r>
    </w:p>
    <w:p w:rsidR="00F67382" w:rsidRPr="006142FF" w:rsidRDefault="00F67382" w:rsidP="00F67382">
      <w:pPr>
        <w:pStyle w:val="CM7"/>
        <w:jc w:val="both"/>
        <w:rPr>
          <w:rFonts w:ascii="GPLNKB+Calibri" w:hAnsi="GPLNKB+Calibri" w:cs="GPLNKB+Calibri"/>
          <w:sz w:val="16"/>
          <w:szCs w:val="16"/>
        </w:rPr>
      </w:pPr>
      <w:proofErr w:type="spellStart"/>
      <w:r w:rsidRPr="006142FF">
        <w:rPr>
          <w:rFonts w:ascii="GPLNKB+Calibri" w:hAnsi="GPLNKB+Calibri" w:cs="GPLNKB+Calibri"/>
          <w:sz w:val="16"/>
          <w:szCs w:val="16"/>
        </w:rPr>
        <w:t>Phu</w:t>
      </w:r>
      <w:proofErr w:type="spellEnd"/>
      <w:r w:rsidRPr="006142FF">
        <w:rPr>
          <w:rFonts w:ascii="GPLNKB+Calibri" w:hAnsi="GPLNKB+Calibri" w:cs="GPLNKB+Calibri"/>
          <w:sz w:val="16"/>
          <w:szCs w:val="16"/>
        </w:rPr>
        <w:t xml:space="preserve"> Van Bui Page 6 Revised March 31, 2010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3.5 Solid Wastes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At the time of closure most wastes will be incinerated. Any waste that cannot be incinerated will be placed in barrels and removed to the Kugluktuk and/or Yellowknife landfill. At time of closure the incinerator will be removed along with any barrels of garbage. The soil under and around the incinerator will be sampled for metals and hydrocarbon contamination. If there are any metals and/or hydrocarbon contamination resulting from activities the contaminated materials will be removed, the area will be stabilized and restored as close as possible to a pre-disturbed state.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3.6 Waste Oil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All waste oil will be incinerated. </w:t>
      </w:r>
    </w:p>
    <w:p w:rsidR="00F67382" w:rsidRPr="006142FF" w:rsidRDefault="00F67382" w:rsidP="00F67382">
      <w:pPr>
        <w:pStyle w:val="CM3"/>
        <w:jc w:val="both"/>
        <w:rPr>
          <w:rFonts w:ascii="GPLNMC+Arial,Bold" w:hAnsi="GPLNMC+Arial,Bold" w:cs="GPLNMC+Arial,Bold"/>
          <w:sz w:val="22"/>
          <w:szCs w:val="22"/>
        </w:rPr>
      </w:pPr>
      <w:r w:rsidRPr="006142FF">
        <w:rPr>
          <w:rFonts w:ascii="GPLNMC+Arial,Bold" w:hAnsi="GPLNMC+Arial,Bold" w:cs="GPLNMC+Arial,Bold"/>
          <w:b/>
          <w:bCs/>
          <w:sz w:val="23"/>
          <w:szCs w:val="23"/>
        </w:rPr>
        <w:t xml:space="preserve">3.7 </w:t>
      </w:r>
      <w:r w:rsidRPr="006142FF">
        <w:rPr>
          <w:rFonts w:ascii="GPLNMC+Arial,Bold" w:hAnsi="GPLNMC+Arial,Bold" w:cs="GPLNMC+Arial,Bold"/>
          <w:b/>
          <w:bCs/>
          <w:sz w:val="22"/>
          <w:szCs w:val="22"/>
        </w:rPr>
        <w:t xml:space="preserve">Hazardous Waste </w:t>
      </w:r>
    </w:p>
    <w:p w:rsidR="00F67382" w:rsidRPr="006142FF" w:rsidRDefault="00F67382" w:rsidP="00F67382">
      <w:pPr>
        <w:pStyle w:val="CM60"/>
        <w:spacing w:after="302" w:line="300" w:lineRule="atLeast"/>
        <w:jc w:val="both"/>
        <w:rPr>
          <w:rFonts w:ascii="NZAKF D+ Times New Roman PSMT" w:hAnsi="NZAKF D+ Times New Roman PSMT" w:cs="NZAKF D+ Times New Roman PSMT"/>
          <w:sz w:val="22"/>
          <w:szCs w:val="22"/>
        </w:rPr>
      </w:pPr>
      <w:r w:rsidRPr="006142FF">
        <w:rPr>
          <w:rFonts w:ascii="GPLOAH+TimesNewRoman" w:hAnsi="GPLOAH+TimesNewRoman" w:cs="GPLOAH+TimesNewRoman"/>
          <w:sz w:val="22"/>
          <w:szCs w:val="22"/>
        </w:rPr>
        <w:t>There will be no hazardous materials on the project site</w:t>
      </w:r>
      <w:r w:rsidRPr="006142FF">
        <w:rPr>
          <w:rFonts w:ascii="NZAKF D+ Times New Roman PSMT" w:hAnsi="NZAKF D+ Times New Roman PSMT" w:cs="NZAKF D+ Times New Roman PSMT"/>
          <w:sz w:val="22"/>
          <w:szCs w:val="22"/>
        </w:rPr>
        <w:t xml:space="preserve">.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3.8 Drill Sites, Sumps and Cuttings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For final restoration of all drill sites, excess cuttings will be put into sumps, and sumps will be back filled. Sumps will be restored as close as possible to a pre-disturbed state. Drill casing, timbers, fuel and fuel </w:t>
      </w:r>
      <w:proofErr w:type="spellStart"/>
      <w:r w:rsidRPr="006142FF">
        <w:rPr>
          <w:rFonts w:ascii="GPLOAH+TimesNewRoman" w:hAnsi="GPLOAH+TimesNewRoman" w:cs="GPLOAH+TimesNewRoman"/>
          <w:sz w:val="22"/>
          <w:szCs w:val="22"/>
        </w:rPr>
        <w:t>berms</w:t>
      </w:r>
      <w:proofErr w:type="spellEnd"/>
      <w:r w:rsidRPr="006142FF">
        <w:rPr>
          <w:rFonts w:ascii="GPLOAH+TimesNewRoman" w:hAnsi="GPLOAH+TimesNewRoman" w:cs="GPLOAH+TimesNewRoman"/>
          <w:sz w:val="22"/>
          <w:szCs w:val="22"/>
        </w:rPr>
        <w:t xml:space="preserve">, will be removed along with all other drilling equipment.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3.9 Bulky Items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Scrap metal in the form of drill rods and bulky items will be removed from site. All drilling scrap will be removed from the project site as backhaul on supply flights.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3.10 Water Intake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Upon closure the water intake pipe, float and pump will be removed, and backhauled with other equipment headed for Kugluktuk and/or Yellowknife.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t xml:space="preserve">3.11 Helicopter Landing Pad </w:t>
      </w:r>
    </w:p>
    <w:p w:rsidR="00F67382" w:rsidRPr="006142FF" w:rsidRDefault="00F67382" w:rsidP="00F67382">
      <w:pPr>
        <w:pStyle w:val="CM60"/>
        <w:spacing w:after="302" w:line="300" w:lineRule="atLeast"/>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Upon closure all debris around the helicopter landing area will be removed. As this is a designated </w:t>
      </w:r>
      <w:proofErr w:type="spellStart"/>
      <w:r w:rsidRPr="006142FF">
        <w:rPr>
          <w:rFonts w:ascii="GPLOAH+TimesNewRoman" w:hAnsi="GPLOAH+TimesNewRoman" w:cs="GPLOAH+TimesNewRoman"/>
          <w:sz w:val="22"/>
          <w:szCs w:val="22"/>
        </w:rPr>
        <w:t>refuelling</w:t>
      </w:r>
      <w:proofErr w:type="spellEnd"/>
      <w:r w:rsidRPr="006142FF">
        <w:rPr>
          <w:rFonts w:ascii="GPLOAH+TimesNewRoman" w:hAnsi="GPLOAH+TimesNewRoman" w:cs="GPLOAH+TimesNewRoman"/>
          <w:sz w:val="22"/>
          <w:szCs w:val="22"/>
        </w:rPr>
        <w:t xml:space="preserve"> area it will be sampled for hydrocarbon contamination. If there is any hydrocarbon contamination resulting from activities the contaminated materials will be removed. The area will be stabilized and restored as close as possible to a pre-disturbed state. </w:t>
      </w:r>
    </w:p>
    <w:p w:rsidR="00F67382" w:rsidRPr="006142FF" w:rsidRDefault="00F67382" w:rsidP="00F67382">
      <w:pPr>
        <w:pStyle w:val="CM8"/>
        <w:jc w:val="both"/>
        <w:rPr>
          <w:rFonts w:ascii="GPLNMC+Arial,Bold" w:hAnsi="GPLNMC+Arial,Bold" w:cs="GPLNMC+Arial,Bold"/>
          <w:sz w:val="22"/>
          <w:szCs w:val="22"/>
        </w:rPr>
      </w:pPr>
      <w:r w:rsidRPr="006142FF">
        <w:rPr>
          <w:rFonts w:ascii="GPLNMC+Arial,Bold" w:hAnsi="GPLNMC+Arial,Bold" w:cs="GPLNMC+Arial,Bold"/>
          <w:b/>
          <w:bCs/>
          <w:sz w:val="22"/>
          <w:szCs w:val="22"/>
        </w:rPr>
        <w:lastRenderedPageBreak/>
        <w:t xml:space="preserve">3.12 Generators </w:t>
      </w:r>
    </w:p>
    <w:p w:rsidR="00F67382" w:rsidRPr="006142FF" w:rsidRDefault="00F67382" w:rsidP="00F67382">
      <w:pPr>
        <w:pStyle w:val="CM8"/>
        <w:spacing w:after="1345"/>
        <w:jc w:val="both"/>
        <w:rPr>
          <w:rFonts w:ascii="GPLOAH+TimesNewRoman" w:hAnsi="GPLOAH+TimesNewRoman" w:cs="GPLOAH+TimesNewRoman"/>
          <w:sz w:val="22"/>
          <w:szCs w:val="22"/>
        </w:rPr>
      </w:pPr>
      <w:r w:rsidRPr="006142FF">
        <w:rPr>
          <w:rFonts w:ascii="GPLOAH+TimesNewRoman" w:hAnsi="GPLOAH+TimesNewRoman" w:cs="GPLOAH+TimesNewRoman"/>
          <w:sz w:val="22"/>
          <w:szCs w:val="22"/>
        </w:rPr>
        <w:t xml:space="preserve">Upon closure the generator shacks will be removed from the site. The area around shack will be sampled for hydrocarbon contamination. If there is any hydrocarbon contamination resulting from activities the contaminated materials will be removed, the area will be stabilized and restored as close as possible to a pre-disturbed state. </w:t>
      </w:r>
    </w:p>
    <w:p w:rsidR="005B331B" w:rsidRPr="006142FF" w:rsidRDefault="005B331B"/>
    <w:sectPr w:rsidR="005B331B" w:rsidRPr="006142FF" w:rsidSect="005B33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NGLAA+Arial,Bold">
    <w:altName w:val="Arial"/>
    <w:panose1 w:val="00000000000000000000"/>
    <w:charset w:val="00"/>
    <w:family w:val="swiss"/>
    <w:notTrueType/>
    <w:pitch w:val="default"/>
    <w:sig w:usb0="00000003" w:usb1="00000000" w:usb2="00000000" w:usb3="00000000" w:csb0="00000001" w:csb1="00000000"/>
  </w:font>
  <w:font w:name="GMNOKM+Arial,Bold">
    <w:altName w:val="Arial"/>
    <w:panose1 w:val="00000000000000000000"/>
    <w:charset w:val="00"/>
    <w:family w:val="swiss"/>
    <w:notTrueType/>
    <w:pitch w:val="default"/>
    <w:sig w:usb0="00000003" w:usb1="00000000" w:usb2="00000000" w:usb3="00000000" w:csb0="00000001" w:csb1="00000000"/>
  </w:font>
  <w:font w:name="GMNOLO+Arial">
    <w:altName w:val="Arial"/>
    <w:panose1 w:val="00000000000000000000"/>
    <w:charset w:val="00"/>
    <w:family w:val="swiss"/>
    <w:notTrueType/>
    <w:pitch w:val="default"/>
    <w:sig w:usb0="00000003" w:usb1="00000000" w:usb2="00000000" w:usb3="00000000" w:csb0="00000001" w:csb1="00000000"/>
  </w:font>
  <w:font w:name="GMNONP+TimesNewRoman">
    <w:altName w:val="Times New Roman"/>
    <w:panose1 w:val="00000000000000000000"/>
    <w:charset w:val="00"/>
    <w:family w:val="roman"/>
    <w:notTrueType/>
    <w:pitch w:val="default"/>
    <w:sig w:usb0="00000003" w:usb1="00000000" w:usb2="00000000" w:usb3="00000000" w:csb0="00000001" w:csb1="00000000"/>
  </w:font>
  <w:font w:name="GPLNMC+Arial,Bold">
    <w:altName w:val="Arial"/>
    <w:panose1 w:val="00000000000000000000"/>
    <w:charset w:val="00"/>
    <w:family w:val="swiss"/>
    <w:notTrueType/>
    <w:pitch w:val="default"/>
    <w:sig w:usb0="00000003" w:usb1="00000000" w:usb2="00000000" w:usb3="00000000" w:csb0="00000001" w:csb1="00000000"/>
  </w:font>
  <w:font w:name="GPLNPF+TimesNewRoman,Italic">
    <w:altName w:val="Times New Roman"/>
    <w:panose1 w:val="00000000000000000000"/>
    <w:charset w:val="00"/>
    <w:family w:val="roman"/>
    <w:notTrueType/>
    <w:pitch w:val="default"/>
    <w:sig w:usb0="00000003" w:usb1="00000000" w:usb2="00000000" w:usb3="00000000" w:csb0="00000001" w:csb1="00000000"/>
  </w:font>
  <w:font w:name="GPLOAH+TimesNewRoman">
    <w:altName w:val="Times New Roman"/>
    <w:panose1 w:val="00000000000000000000"/>
    <w:charset w:val="00"/>
    <w:family w:val="roman"/>
    <w:notTrueType/>
    <w:pitch w:val="default"/>
    <w:sig w:usb0="00000003" w:usb1="00000000" w:usb2="00000000" w:usb3="00000000" w:csb0="00000001" w:csb1="00000000"/>
  </w:font>
  <w:font w:name="GPLNNE+Arial">
    <w:altName w:val="Arial"/>
    <w:panose1 w:val="00000000000000000000"/>
    <w:charset w:val="00"/>
    <w:family w:val="swiss"/>
    <w:notTrueType/>
    <w:pitch w:val="default"/>
    <w:sig w:usb0="00000003" w:usb1="00000000" w:usb2="00000000" w:usb3="00000000" w:csb0="00000001" w:csb1="00000000"/>
  </w:font>
  <w:font w:name="GPLNKB+Calibri">
    <w:altName w:val="Calibri"/>
    <w:panose1 w:val="00000000000000000000"/>
    <w:charset w:val="00"/>
    <w:family w:val="swiss"/>
    <w:notTrueType/>
    <w:pitch w:val="default"/>
    <w:sig w:usb0="00000003" w:usb1="00000000" w:usb2="00000000" w:usb3="00000000" w:csb0="00000001" w:csb1="00000000"/>
  </w:font>
  <w:font w:name="NZAKF D+ Times New Roman 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D2BD6"/>
    <w:multiLevelType w:val="hybridMultilevel"/>
    <w:tmpl w:val="D5BE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F67382"/>
    <w:rsid w:val="005A57D4"/>
    <w:rsid w:val="005B331B"/>
    <w:rsid w:val="006142FF"/>
    <w:rsid w:val="00E40AD2"/>
    <w:rsid w:val="00F67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82"/>
    <w:pPr>
      <w:widowControl w:val="0"/>
      <w:autoSpaceDE w:val="0"/>
      <w:autoSpaceDN w:val="0"/>
      <w:adjustRightInd w:val="0"/>
      <w:spacing w:after="0" w:line="240" w:lineRule="auto"/>
    </w:pPr>
    <w:rPr>
      <w:rFonts w:ascii="FNGLAA+Arial,Bold" w:eastAsiaTheme="minorEastAsia" w:hAnsi="FNGLAA+Arial,Bold" w:cs="FNGLAA+Arial,Bold"/>
      <w:color w:val="000000"/>
      <w:sz w:val="24"/>
      <w:szCs w:val="24"/>
    </w:rPr>
  </w:style>
  <w:style w:type="paragraph" w:customStyle="1" w:styleId="CM2">
    <w:name w:val="CM2"/>
    <w:basedOn w:val="Default"/>
    <w:next w:val="Default"/>
    <w:uiPriority w:val="99"/>
    <w:rsid w:val="00F67382"/>
    <w:pPr>
      <w:spacing w:line="300" w:lineRule="atLeast"/>
    </w:pPr>
    <w:rPr>
      <w:rFonts w:cstheme="minorBidi"/>
      <w:color w:val="auto"/>
    </w:rPr>
  </w:style>
  <w:style w:type="paragraph" w:customStyle="1" w:styleId="CM59">
    <w:name w:val="CM59"/>
    <w:basedOn w:val="Default"/>
    <w:next w:val="Default"/>
    <w:uiPriority w:val="99"/>
    <w:rsid w:val="00F67382"/>
    <w:rPr>
      <w:rFonts w:cstheme="minorBidi"/>
      <w:color w:val="auto"/>
    </w:rPr>
  </w:style>
  <w:style w:type="paragraph" w:customStyle="1" w:styleId="CM60">
    <w:name w:val="CM60"/>
    <w:basedOn w:val="Default"/>
    <w:next w:val="Default"/>
    <w:uiPriority w:val="99"/>
    <w:rsid w:val="00F67382"/>
    <w:rPr>
      <w:rFonts w:cstheme="minorBidi"/>
      <w:color w:val="auto"/>
    </w:rPr>
  </w:style>
  <w:style w:type="paragraph" w:customStyle="1" w:styleId="CM61">
    <w:name w:val="CM61"/>
    <w:basedOn w:val="Default"/>
    <w:next w:val="Default"/>
    <w:uiPriority w:val="99"/>
    <w:rsid w:val="00F67382"/>
    <w:rPr>
      <w:rFonts w:cstheme="minorBidi"/>
      <w:color w:val="auto"/>
    </w:rPr>
  </w:style>
  <w:style w:type="paragraph" w:customStyle="1" w:styleId="CM3">
    <w:name w:val="CM3"/>
    <w:basedOn w:val="Default"/>
    <w:next w:val="Default"/>
    <w:uiPriority w:val="99"/>
    <w:rsid w:val="00F67382"/>
    <w:rPr>
      <w:rFonts w:cstheme="minorBidi"/>
      <w:color w:val="auto"/>
    </w:rPr>
  </w:style>
  <w:style w:type="paragraph" w:customStyle="1" w:styleId="CM62">
    <w:name w:val="CM62"/>
    <w:basedOn w:val="Default"/>
    <w:next w:val="Default"/>
    <w:uiPriority w:val="99"/>
    <w:rsid w:val="00F67382"/>
    <w:rPr>
      <w:rFonts w:cstheme="minorBidi"/>
      <w:color w:val="auto"/>
    </w:rPr>
  </w:style>
  <w:style w:type="paragraph" w:customStyle="1" w:styleId="CM4">
    <w:name w:val="CM4"/>
    <w:basedOn w:val="Default"/>
    <w:next w:val="Default"/>
    <w:uiPriority w:val="99"/>
    <w:rsid w:val="00F67382"/>
    <w:rPr>
      <w:rFonts w:cstheme="minorBidi"/>
      <w:color w:val="auto"/>
    </w:rPr>
  </w:style>
  <w:style w:type="paragraph" w:customStyle="1" w:styleId="CM5">
    <w:name w:val="CM5"/>
    <w:basedOn w:val="Default"/>
    <w:next w:val="Default"/>
    <w:uiPriority w:val="99"/>
    <w:rsid w:val="00F67382"/>
    <w:rPr>
      <w:rFonts w:cstheme="minorBidi"/>
      <w:color w:val="auto"/>
    </w:rPr>
  </w:style>
  <w:style w:type="paragraph" w:customStyle="1" w:styleId="CM6">
    <w:name w:val="CM6"/>
    <w:basedOn w:val="Default"/>
    <w:next w:val="Default"/>
    <w:uiPriority w:val="99"/>
    <w:rsid w:val="00F67382"/>
    <w:pPr>
      <w:spacing w:line="238" w:lineRule="atLeast"/>
    </w:pPr>
    <w:rPr>
      <w:rFonts w:cstheme="minorBidi"/>
      <w:color w:val="auto"/>
    </w:rPr>
  </w:style>
  <w:style w:type="paragraph" w:customStyle="1" w:styleId="CM7">
    <w:name w:val="CM7"/>
    <w:basedOn w:val="Default"/>
    <w:next w:val="Default"/>
    <w:uiPriority w:val="99"/>
    <w:rsid w:val="00F67382"/>
    <w:pPr>
      <w:spacing w:line="193" w:lineRule="atLeast"/>
    </w:pPr>
    <w:rPr>
      <w:rFonts w:cstheme="minorBidi"/>
      <w:color w:val="auto"/>
    </w:rPr>
  </w:style>
  <w:style w:type="paragraph" w:customStyle="1" w:styleId="CM8">
    <w:name w:val="CM8"/>
    <w:basedOn w:val="Default"/>
    <w:next w:val="Default"/>
    <w:uiPriority w:val="99"/>
    <w:rsid w:val="00F67382"/>
    <w:pPr>
      <w:spacing w:line="300" w:lineRule="atLeast"/>
    </w:pPr>
    <w:rPr>
      <w:rFonts w:cstheme="minorBidi"/>
      <w:color w:val="auto"/>
    </w:rPr>
  </w:style>
  <w:style w:type="paragraph" w:customStyle="1" w:styleId="CM63">
    <w:name w:val="CM63"/>
    <w:basedOn w:val="Default"/>
    <w:next w:val="Default"/>
    <w:uiPriority w:val="99"/>
    <w:rsid w:val="00F67382"/>
    <w:rPr>
      <w:rFonts w:cstheme="minorBidi"/>
      <w:color w:val="auto"/>
    </w:rPr>
  </w:style>
  <w:style w:type="paragraph" w:customStyle="1" w:styleId="CM64">
    <w:name w:val="CM64"/>
    <w:basedOn w:val="Default"/>
    <w:next w:val="Default"/>
    <w:uiPriority w:val="99"/>
    <w:rsid w:val="00F67382"/>
    <w:rPr>
      <w:rFonts w:cstheme="minorBidi"/>
      <w:color w:val="auto"/>
    </w:rPr>
  </w:style>
  <w:style w:type="paragraph" w:customStyle="1" w:styleId="CM9">
    <w:name w:val="CM9"/>
    <w:basedOn w:val="Default"/>
    <w:next w:val="Default"/>
    <w:uiPriority w:val="99"/>
    <w:rsid w:val="00F67382"/>
    <w:pPr>
      <w:spacing w:line="298" w:lineRule="atLeast"/>
    </w:pPr>
    <w:rPr>
      <w:rFonts w:cstheme="minorBidi"/>
      <w:color w:val="auto"/>
    </w:rPr>
  </w:style>
  <w:style w:type="paragraph" w:customStyle="1" w:styleId="CM65">
    <w:name w:val="CM65"/>
    <w:basedOn w:val="Default"/>
    <w:next w:val="Default"/>
    <w:uiPriority w:val="99"/>
    <w:rsid w:val="00F67382"/>
    <w:rPr>
      <w:rFonts w:cstheme="minorBidi"/>
      <w:color w:val="auto"/>
    </w:rPr>
  </w:style>
  <w:style w:type="paragraph" w:customStyle="1" w:styleId="CM74">
    <w:name w:val="CM74"/>
    <w:basedOn w:val="Default"/>
    <w:next w:val="Default"/>
    <w:uiPriority w:val="99"/>
    <w:rsid w:val="00F67382"/>
    <w:rPr>
      <w:rFonts w:cstheme="minorBidi"/>
      <w:color w:val="auto"/>
    </w:rPr>
  </w:style>
  <w:style w:type="paragraph" w:customStyle="1" w:styleId="CM67">
    <w:name w:val="CM67"/>
    <w:basedOn w:val="Default"/>
    <w:next w:val="Default"/>
    <w:uiPriority w:val="99"/>
    <w:rsid w:val="00F67382"/>
    <w:rPr>
      <w:rFonts w:cstheme="minorBidi"/>
      <w:color w:val="auto"/>
    </w:rPr>
  </w:style>
  <w:style w:type="paragraph" w:customStyle="1" w:styleId="CM68">
    <w:name w:val="CM68"/>
    <w:basedOn w:val="Default"/>
    <w:next w:val="Default"/>
    <w:uiPriority w:val="99"/>
    <w:rsid w:val="00F67382"/>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2A59-817B-4A8D-B65B-9CAD0DB2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2226</Words>
  <Characters>12689</Characters>
  <Application>Microsoft Office Word</Application>
  <DocSecurity>0</DocSecurity>
  <Lines>105</Lines>
  <Paragraphs>29</Paragraphs>
  <ScaleCrop>false</ScaleCrop>
  <Company/>
  <LinksUpToDate>false</LinksUpToDate>
  <CharactersWithSpaces>14886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tech3</dc:creator>
  <cp:lastModifiedBy>tech3</cp:lastModifiedBy>
  <cp:revision>2</cp:revision>
  <dcterms:created xsi:type="dcterms:W3CDTF">2010-08-11T19:50:00Z</dcterms:created>
  <dcterms:modified xsi:type="dcterms:W3CDTF">2010-08-11T19:50:00Z</dcterms:modified>
</cp:coreProperties>
</file>