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2986C" w14:textId="77777777" w:rsidR="00186612" w:rsidRDefault="00C6188F">
      <w:pPr>
        <w:spacing w:after="0" w:line="259" w:lineRule="auto"/>
        <w:ind w:left="-1440" w:right="10799" w:firstLine="0"/>
      </w:pPr>
      <w:r>
        <w:rPr>
          <w:noProof/>
        </w:rPr>
        <w:drawing>
          <wp:anchor distT="0" distB="0" distL="114300" distR="114300" simplePos="0" relativeHeight="251658240" behindDoc="0" locked="0" layoutInCell="1" allowOverlap="0" wp14:anchorId="32115581" wp14:editId="5E09F746">
            <wp:simplePos x="0" y="0"/>
            <wp:positionH relativeFrom="page">
              <wp:posOffset>0</wp:posOffset>
            </wp:positionH>
            <wp:positionV relativeFrom="page">
              <wp:posOffset>0</wp:posOffset>
            </wp:positionV>
            <wp:extent cx="7772400" cy="10030968"/>
            <wp:effectExtent l="0" t="0" r="0" b="0"/>
            <wp:wrapTopAndBottom/>
            <wp:docPr id="3917" name="Picture 3917"/>
            <wp:cNvGraphicFramePr/>
            <a:graphic xmlns:a="http://schemas.openxmlformats.org/drawingml/2006/main">
              <a:graphicData uri="http://schemas.openxmlformats.org/drawingml/2006/picture">
                <pic:pic xmlns:pic="http://schemas.openxmlformats.org/drawingml/2006/picture">
                  <pic:nvPicPr>
                    <pic:cNvPr id="3917" name="Picture 3917"/>
                    <pic:cNvPicPr/>
                  </pic:nvPicPr>
                  <pic:blipFill>
                    <a:blip r:embed="rId5"/>
                    <a:stretch>
                      <a:fillRect/>
                    </a:stretch>
                  </pic:blipFill>
                  <pic:spPr>
                    <a:xfrm>
                      <a:off x="0" y="0"/>
                      <a:ext cx="7772400" cy="10030968"/>
                    </a:xfrm>
                    <a:prstGeom prst="rect">
                      <a:avLst/>
                    </a:prstGeom>
                  </pic:spPr>
                </pic:pic>
              </a:graphicData>
            </a:graphic>
          </wp:anchor>
        </w:drawing>
      </w:r>
      <w:r>
        <w:br w:type="page"/>
      </w:r>
    </w:p>
    <w:p w14:paraId="0EFE1AD3" w14:textId="77777777" w:rsidR="00186612" w:rsidRDefault="00C6188F">
      <w:pPr>
        <w:numPr>
          <w:ilvl w:val="0"/>
          <w:numId w:val="1"/>
        </w:numPr>
        <w:ind w:hanging="360"/>
      </w:pPr>
      <w:r>
        <w:lastRenderedPageBreak/>
        <w:t xml:space="preserve">where the leachate is occurring and reporting to; and </w:t>
      </w:r>
    </w:p>
    <w:p w14:paraId="4557D998" w14:textId="77777777" w:rsidR="00186612" w:rsidRDefault="00C6188F">
      <w:pPr>
        <w:numPr>
          <w:ilvl w:val="0"/>
          <w:numId w:val="1"/>
        </w:numPr>
        <w:spacing w:after="209"/>
        <w:ind w:hanging="360"/>
      </w:pPr>
      <w:r>
        <w:t xml:space="preserve">what measures are being undertaken to collect all leachate such that it is not discharge to the receiving environment. </w:t>
      </w:r>
    </w:p>
    <w:p w14:paraId="5643829B" w14:textId="77777777" w:rsidR="00186612" w:rsidRDefault="00C6188F">
      <w:pPr>
        <w:spacing w:after="159" w:line="259" w:lineRule="auto"/>
        <w:ind w:left="355"/>
      </w:pPr>
      <w:r>
        <w:rPr>
          <w:u w:val="single" w:color="595959"/>
        </w:rPr>
        <w:t>ECCC Recommendation(s)</w:t>
      </w:r>
      <w:r>
        <w:t xml:space="preserve"> </w:t>
      </w:r>
    </w:p>
    <w:p w14:paraId="76F6697E" w14:textId="7E537B24" w:rsidR="00186612" w:rsidRDefault="00C6188F">
      <w:pPr>
        <w:spacing w:after="155"/>
        <w:ind w:left="355"/>
      </w:pPr>
      <w:r>
        <w:t xml:space="preserve">ECCC recommends that the proponent take measures to attempt to capture all leachate from the landfill site, for appropriate management such that the leachate does not discharge to the receiving environment. In addition, the proponent should provide information on the quantity, and locations of leaching, as well as overall leachate management. </w:t>
      </w:r>
    </w:p>
    <w:p w14:paraId="63A81E78" w14:textId="4CFF7993" w:rsidR="00F670B2" w:rsidRPr="00997196" w:rsidRDefault="00F670B2">
      <w:pPr>
        <w:spacing w:after="155"/>
        <w:ind w:left="355"/>
        <w:rPr>
          <w:color w:val="00B050"/>
        </w:rPr>
      </w:pPr>
      <w:r w:rsidRPr="00997196">
        <w:rPr>
          <w:color w:val="00B050"/>
        </w:rPr>
        <w:t xml:space="preserve">Ans. The existing Landfill is a non engineered facility and the leachate is uncontrolled. The leachate will be tested 3 to 4 times in summer as long as the flow is </w:t>
      </w:r>
      <w:proofErr w:type="gramStart"/>
      <w:r w:rsidRPr="00997196">
        <w:rPr>
          <w:color w:val="00B050"/>
        </w:rPr>
        <w:t>seen</w:t>
      </w:r>
      <w:proofErr w:type="gramEnd"/>
      <w:r w:rsidRPr="00997196">
        <w:rPr>
          <w:color w:val="00B050"/>
        </w:rPr>
        <w:t xml:space="preserve"> and sampling station will be established with GPS coordinates. The leachate flows into the nearby natural ditch and highly diluted there prior to meeting the receiving body. </w:t>
      </w:r>
    </w:p>
    <w:p w14:paraId="7FE7D8C9" w14:textId="15E37D42" w:rsidR="00F670B2" w:rsidRPr="00997196" w:rsidRDefault="00F670B2">
      <w:pPr>
        <w:spacing w:after="155"/>
        <w:ind w:left="355"/>
        <w:rPr>
          <w:color w:val="00B050"/>
        </w:rPr>
      </w:pPr>
      <w:r w:rsidRPr="00997196">
        <w:rPr>
          <w:color w:val="00B050"/>
        </w:rPr>
        <w:t>However, the new facility is anticipated to be built to control the leachate and treated inside the facility before discharging to the land. This facility is under planning stage at this moment and expected to be built in next 3 to 4 years.</w:t>
      </w:r>
    </w:p>
    <w:p w14:paraId="1FA399D7" w14:textId="77777777" w:rsidR="00F670B2" w:rsidRDefault="00F670B2">
      <w:pPr>
        <w:spacing w:after="155"/>
        <w:ind w:left="355"/>
      </w:pPr>
    </w:p>
    <w:p w14:paraId="4A3B2A8E" w14:textId="77777777" w:rsidR="00F670B2" w:rsidRDefault="00F670B2">
      <w:pPr>
        <w:spacing w:after="155"/>
        <w:ind w:left="355"/>
      </w:pPr>
    </w:p>
    <w:p w14:paraId="663A0A45" w14:textId="77777777" w:rsidR="00186612" w:rsidRDefault="00C6188F">
      <w:pPr>
        <w:numPr>
          <w:ilvl w:val="0"/>
          <w:numId w:val="2"/>
        </w:numPr>
        <w:spacing w:after="19" w:line="259" w:lineRule="auto"/>
        <w:ind w:hanging="360"/>
      </w:pPr>
      <w:r>
        <w:rPr>
          <w:b/>
        </w:rPr>
        <w:t xml:space="preserve">Monitoring Results </w:t>
      </w:r>
    </w:p>
    <w:p w14:paraId="5BA8F0E0" w14:textId="0D5A7141" w:rsidR="00186612" w:rsidRDefault="00186612">
      <w:pPr>
        <w:spacing w:after="19" w:line="259" w:lineRule="auto"/>
        <w:ind w:left="360" w:firstLine="0"/>
      </w:pPr>
    </w:p>
    <w:p w14:paraId="7B2DAC38" w14:textId="77777777" w:rsidR="00186612" w:rsidRDefault="00C6188F">
      <w:pPr>
        <w:spacing w:after="34" w:line="259" w:lineRule="auto"/>
        <w:ind w:left="355"/>
      </w:pPr>
      <w:r>
        <w:rPr>
          <w:u w:val="single" w:color="595959"/>
        </w:rPr>
        <w:t>Reference(s)</w:t>
      </w:r>
      <w:r>
        <w:t xml:space="preserve"> </w:t>
      </w:r>
    </w:p>
    <w:p w14:paraId="2234E14C" w14:textId="77777777" w:rsidR="00186612" w:rsidRDefault="00C6188F">
      <w:pPr>
        <w:numPr>
          <w:ilvl w:val="1"/>
          <w:numId w:val="2"/>
        </w:numPr>
        <w:spacing w:after="180" w:line="259" w:lineRule="auto"/>
        <w:ind w:hanging="360"/>
      </w:pPr>
      <w:r>
        <w:rPr>
          <w:i/>
        </w:rPr>
        <w:t>Hamlet of Pond Inlet 2019 Monitoring Results</w:t>
      </w:r>
      <w:r>
        <w:t xml:space="preserve">.  </w:t>
      </w:r>
    </w:p>
    <w:p w14:paraId="61B3EB50" w14:textId="77777777" w:rsidR="00186612" w:rsidRDefault="00C6188F">
      <w:pPr>
        <w:spacing w:after="159" w:line="259" w:lineRule="auto"/>
        <w:ind w:left="355"/>
      </w:pPr>
      <w:r>
        <w:rPr>
          <w:u w:val="single" w:color="595959"/>
        </w:rPr>
        <w:t>Comment</w:t>
      </w:r>
      <w:r>
        <w:t xml:space="preserve"> </w:t>
      </w:r>
    </w:p>
    <w:p w14:paraId="4E573993" w14:textId="77777777" w:rsidR="00186612" w:rsidRDefault="00C6188F">
      <w:pPr>
        <w:spacing w:after="163"/>
        <w:ind w:left="355"/>
      </w:pPr>
      <w:r>
        <w:t xml:space="preserve">The Proponent has included monitoring data for five different monitoring stations. However, it is not clear to ECCC where this sampling occurred, because the proponent did not provide a figure that indicated sampling locations or the effluent flow path. In addition, although the proponent did include sampling data, they did not include associated QA/QC results (i.e., trip blank, field blank, duplicates) with the submission. </w:t>
      </w:r>
    </w:p>
    <w:p w14:paraId="03488A42" w14:textId="77777777" w:rsidR="00186612" w:rsidRDefault="00C6188F">
      <w:pPr>
        <w:spacing w:after="159" w:line="259" w:lineRule="auto"/>
        <w:ind w:left="355"/>
      </w:pPr>
      <w:r>
        <w:rPr>
          <w:u w:val="single" w:color="595959"/>
        </w:rPr>
        <w:t>ECCC Recommendation(s)</w:t>
      </w:r>
      <w:r>
        <w:t xml:space="preserve"> </w:t>
      </w:r>
    </w:p>
    <w:p w14:paraId="10ECAEE4" w14:textId="77777777" w:rsidR="00186612" w:rsidRDefault="00C6188F">
      <w:pPr>
        <w:spacing w:after="177"/>
        <w:ind w:left="355"/>
      </w:pPr>
      <w:r>
        <w:t xml:space="preserve">ECCC recommends that the proponent: </w:t>
      </w:r>
    </w:p>
    <w:p w14:paraId="62FE1B0C" w14:textId="77777777" w:rsidR="00186612" w:rsidRDefault="00C6188F">
      <w:pPr>
        <w:numPr>
          <w:ilvl w:val="1"/>
          <w:numId w:val="2"/>
        </w:numPr>
        <w:ind w:hanging="360"/>
      </w:pPr>
      <w:r>
        <w:t xml:space="preserve">provide a figure depicting monitoring locations and general site layout </w:t>
      </w:r>
    </w:p>
    <w:p w14:paraId="4960915F" w14:textId="11D27943" w:rsidR="00186612" w:rsidRDefault="00C6188F">
      <w:pPr>
        <w:numPr>
          <w:ilvl w:val="1"/>
          <w:numId w:val="2"/>
        </w:numPr>
        <w:ind w:hanging="360"/>
      </w:pPr>
      <w:r>
        <w:t xml:space="preserve">provide QA/QC data associated with the 2019 monitoring results. </w:t>
      </w:r>
    </w:p>
    <w:p w14:paraId="5282AB52" w14:textId="77777777" w:rsidR="00997196" w:rsidRDefault="00997196" w:rsidP="00997196">
      <w:pPr>
        <w:ind w:left="1067" w:firstLine="0"/>
      </w:pPr>
    </w:p>
    <w:p w14:paraId="7E7DE976" w14:textId="36C4984F" w:rsidR="00997196" w:rsidRPr="00997196" w:rsidRDefault="00997196" w:rsidP="00997196">
      <w:pPr>
        <w:ind w:left="360" w:firstLine="0"/>
        <w:rPr>
          <w:color w:val="00B050"/>
        </w:rPr>
      </w:pPr>
      <w:r w:rsidRPr="00997196">
        <w:rPr>
          <w:color w:val="00B050"/>
        </w:rPr>
        <w:t>Ans. Hamlet will be using a GPS set to establish the monitoring station with Coordinates and name the monitoring station which correspond to the sampling and testing results. The Hamlet foreman has been trained to follow the conditions of the Monitoring Program of the Hamlet water licence.</w:t>
      </w:r>
    </w:p>
    <w:p w14:paraId="2F13F115" w14:textId="2B147910" w:rsidR="00997196" w:rsidRPr="00997196" w:rsidRDefault="00997196" w:rsidP="00997196">
      <w:pPr>
        <w:ind w:left="360" w:firstLine="0"/>
        <w:rPr>
          <w:color w:val="00B050"/>
        </w:rPr>
      </w:pPr>
    </w:p>
    <w:p w14:paraId="4B752AC3" w14:textId="56EC8B72" w:rsidR="00997196" w:rsidRPr="00997196" w:rsidRDefault="00997196" w:rsidP="00997196">
      <w:pPr>
        <w:ind w:left="360" w:firstLine="0"/>
        <w:rPr>
          <w:color w:val="00B050"/>
        </w:rPr>
      </w:pPr>
      <w:r w:rsidRPr="00997196">
        <w:rPr>
          <w:color w:val="00B050"/>
        </w:rPr>
        <w:t>I am currently working from Ottawa home and have no access to my office computer. Therefore</w:t>
      </w:r>
      <w:r>
        <w:rPr>
          <w:color w:val="00B050"/>
        </w:rPr>
        <w:t>,</w:t>
      </w:r>
      <w:r w:rsidRPr="00997196">
        <w:rPr>
          <w:color w:val="00B050"/>
        </w:rPr>
        <w:t xml:space="preserve"> the updated QA/QC Plan will be made available soon after COVID 19 Pandemic situation is back to normal and travel restriction is withdrawn.</w:t>
      </w:r>
    </w:p>
    <w:p w14:paraId="18B5C693" w14:textId="77777777" w:rsidR="00186612" w:rsidRDefault="00C6188F">
      <w:pPr>
        <w:spacing w:after="158" w:line="259" w:lineRule="auto"/>
        <w:ind w:left="0" w:firstLine="0"/>
      </w:pPr>
      <w:r>
        <w:lastRenderedPageBreak/>
        <w:t xml:space="preserve"> </w:t>
      </w:r>
    </w:p>
    <w:p w14:paraId="108FBFCF" w14:textId="77777777" w:rsidR="00186612" w:rsidRDefault="00C6188F">
      <w:pPr>
        <w:numPr>
          <w:ilvl w:val="0"/>
          <w:numId w:val="2"/>
        </w:numPr>
        <w:ind w:hanging="360"/>
      </w:pPr>
      <w:r>
        <w:t>Effluent Quality</w:t>
      </w:r>
      <w:r>
        <w:rPr>
          <w:b/>
        </w:rPr>
        <w:t xml:space="preserve"> </w:t>
      </w:r>
    </w:p>
    <w:p w14:paraId="75BE29D5" w14:textId="77777777" w:rsidR="00186612" w:rsidRDefault="00C6188F">
      <w:pPr>
        <w:spacing w:after="19" w:line="259" w:lineRule="auto"/>
        <w:ind w:left="360" w:firstLine="0"/>
      </w:pPr>
      <w:r>
        <w:rPr>
          <w:b/>
        </w:rPr>
        <w:t xml:space="preserve"> </w:t>
      </w:r>
    </w:p>
    <w:p w14:paraId="1B57D514" w14:textId="77777777" w:rsidR="00186612" w:rsidRDefault="00C6188F">
      <w:pPr>
        <w:spacing w:after="34" w:line="259" w:lineRule="auto"/>
        <w:ind w:left="355"/>
      </w:pPr>
      <w:r>
        <w:rPr>
          <w:u w:val="single" w:color="595959"/>
        </w:rPr>
        <w:t>Reference(s)</w:t>
      </w:r>
      <w:r>
        <w:t xml:space="preserve"> </w:t>
      </w:r>
    </w:p>
    <w:p w14:paraId="13962E1F" w14:textId="77777777" w:rsidR="00186612" w:rsidRDefault="00C6188F">
      <w:pPr>
        <w:numPr>
          <w:ilvl w:val="1"/>
          <w:numId w:val="2"/>
        </w:numPr>
        <w:spacing w:after="180" w:line="259" w:lineRule="auto"/>
        <w:ind w:hanging="360"/>
      </w:pPr>
      <w:r>
        <w:rPr>
          <w:i/>
        </w:rPr>
        <w:t xml:space="preserve">Municipality of Pond Inlet Plan for Compliance Licence No. 3BM-PON1520  </w:t>
      </w:r>
    </w:p>
    <w:p w14:paraId="0374042D" w14:textId="77777777" w:rsidR="00186612" w:rsidRDefault="00C6188F">
      <w:pPr>
        <w:spacing w:after="159" w:line="259" w:lineRule="auto"/>
        <w:ind w:left="355"/>
      </w:pPr>
      <w:r>
        <w:rPr>
          <w:u w:val="single" w:color="595959"/>
        </w:rPr>
        <w:t>Comment</w:t>
      </w:r>
      <w:r>
        <w:t xml:space="preserve"> </w:t>
      </w:r>
    </w:p>
    <w:p w14:paraId="14D0EC92" w14:textId="77777777" w:rsidR="00186612" w:rsidRDefault="00C6188F">
      <w:pPr>
        <w:spacing w:after="160"/>
        <w:ind w:left="355"/>
      </w:pPr>
      <w:r>
        <w:t>As per the ‘</w:t>
      </w:r>
      <w:r>
        <w:rPr>
          <w:i/>
        </w:rPr>
        <w:t>Plan for Compliance</w:t>
      </w:r>
      <w:r>
        <w:t xml:space="preserve">’, the Proponent indicates that all wastewater discharges associated with PON-4 comply with the licence </w:t>
      </w:r>
      <w:proofErr w:type="gramStart"/>
      <w:r>
        <w:t>limits, and</w:t>
      </w:r>
      <w:proofErr w:type="gramEnd"/>
      <w:r>
        <w:t xml:space="preserve"> refers the reviewer to the 2019 monitoring results. Upon review of these results (October 2019 wastewater), ECCC notes that the following parameters exceed relevant effluent quality criteria: </w:t>
      </w:r>
    </w:p>
    <w:p w14:paraId="2E1055B0" w14:textId="77777777" w:rsidR="00186612" w:rsidRDefault="00C6188F">
      <w:pPr>
        <w:numPr>
          <w:ilvl w:val="1"/>
          <w:numId w:val="3"/>
        </w:numPr>
        <w:spacing w:after="28"/>
        <w:ind w:hanging="360"/>
      </w:pPr>
      <w:r>
        <w:t xml:space="preserve">TSS – 680 mg/L (EQC = 180 mg/L) </w:t>
      </w:r>
    </w:p>
    <w:p w14:paraId="43B400B4" w14:textId="77777777" w:rsidR="00186612" w:rsidRDefault="00C6188F">
      <w:pPr>
        <w:numPr>
          <w:ilvl w:val="1"/>
          <w:numId w:val="3"/>
        </w:numPr>
        <w:spacing w:after="225"/>
        <w:ind w:hanging="360"/>
      </w:pPr>
      <w:r>
        <w:t xml:space="preserve">BOD5 – 245 mg/L (EQC = 120 mg/L) </w:t>
      </w:r>
    </w:p>
    <w:p w14:paraId="6B8BC2F8" w14:textId="77777777" w:rsidR="00186612" w:rsidRDefault="00C6188F">
      <w:pPr>
        <w:spacing w:after="160"/>
        <w:ind w:left="355"/>
      </w:pPr>
      <w:r>
        <w:t xml:space="preserve">In addition to this, the concentrations of ammonia as nitrogen (86 mg/L) and iron (24.3 mg/L) are </w:t>
      </w:r>
      <w:proofErr w:type="gramStart"/>
      <w:r>
        <w:t>elevated, and</w:t>
      </w:r>
      <w:proofErr w:type="gramEnd"/>
      <w:r>
        <w:t xml:space="preserve"> may cause impacts to aquatic life. The proponent has not provided any mitigation measures to address these exceedances in effluent quality </w:t>
      </w:r>
      <w:proofErr w:type="gramStart"/>
      <w:r>
        <w:t>criteria, or</w:t>
      </w:r>
      <w:proofErr w:type="gramEnd"/>
      <w:r>
        <w:t xml:space="preserve"> indicated what are the potential impacts to aquatic life.  ECCC notes that work is underway to finalize development of the Northern Wastewater Regulations, and that upon enactment of those regulations it will be necessary to meet standards that are below current discharge quality achieved by the Pond Inlet treatment system. </w:t>
      </w:r>
    </w:p>
    <w:p w14:paraId="6BC38C2B" w14:textId="77777777" w:rsidR="00186612" w:rsidRDefault="00C6188F">
      <w:pPr>
        <w:spacing w:after="159" w:line="259" w:lineRule="auto"/>
        <w:ind w:left="355"/>
      </w:pPr>
      <w:r>
        <w:rPr>
          <w:u w:val="single" w:color="595959"/>
        </w:rPr>
        <w:t>ECCC Recommendation(s)</w:t>
      </w:r>
      <w:r>
        <w:t xml:space="preserve"> </w:t>
      </w:r>
    </w:p>
    <w:p w14:paraId="47E53300" w14:textId="77777777" w:rsidR="00186612" w:rsidRDefault="00C6188F">
      <w:pPr>
        <w:spacing w:after="163"/>
        <w:ind w:left="355"/>
      </w:pPr>
      <w:r>
        <w:t xml:space="preserve">The Proponent should identify measures to optimize current treatment, and to improve effluent quality for the long term.  </w:t>
      </w:r>
    </w:p>
    <w:p w14:paraId="3EE257B3" w14:textId="2132132A" w:rsidR="00186612" w:rsidRPr="00CD2FD6" w:rsidRDefault="00C6188F">
      <w:pPr>
        <w:spacing w:after="158" w:line="259" w:lineRule="auto"/>
        <w:ind w:left="360" w:firstLine="0"/>
        <w:rPr>
          <w:color w:val="00B050"/>
        </w:rPr>
      </w:pPr>
      <w:r w:rsidRPr="00CD2FD6">
        <w:rPr>
          <w:color w:val="00B050"/>
        </w:rPr>
        <w:t xml:space="preserve"> </w:t>
      </w:r>
      <w:r w:rsidR="00CD2FD6" w:rsidRPr="00CD2FD6">
        <w:rPr>
          <w:color w:val="00B050"/>
        </w:rPr>
        <w:t xml:space="preserve">Ans. This Lagoon was built and commissioned in around 2004/5 and very close to its life expectancy. The future facility will address this requirement and </w:t>
      </w:r>
      <w:proofErr w:type="gramStart"/>
      <w:r w:rsidR="00CD2FD6" w:rsidRPr="00CD2FD6">
        <w:rPr>
          <w:color w:val="00B050"/>
        </w:rPr>
        <w:t>definitely satisfy</w:t>
      </w:r>
      <w:proofErr w:type="gramEnd"/>
      <w:r w:rsidR="00CD2FD6" w:rsidRPr="00CD2FD6">
        <w:rPr>
          <w:color w:val="00B050"/>
        </w:rPr>
        <w:t xml:space="preserve"> the new regulations of the Northern Wastewater Regulations. </w:t>
      </w:r>
    </w:p>
    <w:p w14:paraId="1915F1A6" w14:textId="7E69530E" w:rsidR="00CD2FD6" w:rsidRPr="00CD2FD6" w:rsidRDefault="00CD2FD6">
      <w:pPr>
        <w:spacing w:after="158" w:line="259" w:lineRule="auto"/>
        <w:ind w:left="360" w:firstLine="0"/>
        <w:rPr>
          <w:color w:val="00B050"/>
        </w:rPr>
      </w:pPr>
      <w:r w:rsidRPr="00CD2FD6">
        <w:rPr>
          <w:color w:val="00B050"/>
        </w:rPr>
        <w:t>Also</w:t>
      </w:r>
      <w:r w:rsidR="00B724A8">
        <w:rPr>
          <w:color w:val="00B050"/>
        </w:rPr>
        <w:t>,</w:t>
      </w:r>
      <w:r w:rsidRPr="00CD2FD6">
        <w:rPr>
          <w:color w:val="00B050"/>
        </w:rPr>
        <w:t xml:space="preserve"> Hamlet has been advised to be very careful for sampling, preservation of sampl</w:t>
      </w:r>
      <w:r w:rsidR="00B724A8">
        <w:rPr>
          <w:color w:val="00B050"/>
        </w:rPr>
        <w:t>es</w:t>
      </w:r>
      <w:r w:rsidRPr="00CD2FD6">
        <w:rPr>
          <w:color w:val="00B050"/>
        </w:rPr>
        <w:t xml:space="preserve"> and shipping the samples to the Ottawa Lab </w:t>
      </w:r>
      <w:r w:rsidR="00B724A8">
        <w:rPr>
          <w:color w:val="00B050"/>
        </w:rPr>
        <w:t xml:space="preserve">for testing </w:t>
      </w:r>
      <w:bookmarkStart w:id="0" w:name="_GoBack"/>
      <w:bookmarkEnd w:id="0"/>
      <w:r w:rsidRPr="00CD2FD6">
        <w:rPr>
          <w:color w:val="00B050"/>
        </w:rPr>
        <w:t>to have better results.</w:t>
      </w:r>
    </w:p>
    <w:p w14:paraId="0C4B398F" w14:textId="77777777" w:rsidR="00186612" w:rsidRDefault="00C6188F">
      <w:pPr>
        <w:numPr>
          <w:ilvl w:val="0"/>
          <w:numId w:val="2"/>
        </w:numPr>
        <w:ind w:hanging="360"/>
      </w:pPr>
      <w:r>
        <w:t>Updates to Plan for Compliance</w:t>
      </w:r>
      <w:r>
        <w:rPr>
          <w:b/>
        </w:rPr>
        <w:t xml:space="preserve"> </w:t>
      </w:r>
    </w:p>
    <w:p w14:paraId="3CEBDA06" w14:textId="77777777" w:rsidR="00186612" w:rsidRDefault="00C6188F">
      <w:pPr>
        <w:spacing w:after="19" w:line="259" w:lineRule="auto"/>
        <w:ind w:left="360" w:firstLine="0"/>
      </w:pPr>
      <w:r>
        <w:rPr>
          <w:b/>
        </w:rPr>
        <w:t xml:space="preserve"> </w:t>
      </w:r>
    </w:p>
    <w:p w14:paraId="3F17DF10" w14:textId="77777777" w:rsidR="00186612" w:rsidRDefault="00C6188F">
      <w:pPr>
        <w:spacing w:after="36" w:line="259" w:lineRule="auto"/>
        <w:ind w:left="355"/>
      </w:pPr>
      <w:r>
        <w:rPr>
          <w:u w:val="single" w:color="595959"/>
        </w:rPr>
        <w:t>Reference(s)</w:t>
      </w:r>
      <w:r>
        <w:t xml:space="preserve"> </w:t>
      </w:r>
    </w:p>
    <w:p w14:paraId="11D53C36" w14:textId="77777777" w:rsidR="00186612" w:rsidRDefault="00C6188F">
      <w:pPr>
        <w:numPr>
          <w:ilvl w:val="1"/>
          <w:numId w:val="2"/>
        </w:numPr>
        <w:spacing w:after="178" w:line="259" w:lineRule="auto"/>
        <w:ind w:hanging="360"/>
      </w:pPr>
      <w:r>
        <w:rPr>
          <w:i/>
        </w:rPr>
        <w:t xml:space="preserve">Municipality of Pond Inlet Plan for Compliance Licence No. 3BM-PON1520  </w:t>
      </w:r>
    </w:p>
    <w:p w14:paraId="3C739D76" w14:textId="77777777" w:rsidR="00186612" w:rsidRDefault="00C6188F">
      <w:pPr>
        <w:spacing w:after="159" w:line="259" w:lineRule="auto"/>
        <w:ind w:left="355"/>
      </w:pPr>
      <w:r>
        <w:rPr>
          <w:u w:val="single" w:color="595959"/>
        </w:rPr>
        <w:t>Comment</w:t>
      </w:r>
      <w:r>
        <w:t xml:space="preserve"> </w:t>
      </w:r>
    </w:p>
    <w:p w14:paraId="3A6C9A66" w14:textId="77777777" w:rsidR="00186612" w:rsidRDefault="00C6188F">
      <w:pPr>
        <w:spacing w:after="163"/>
        <w:ind w:left="355"/>
      </w:pPr>
      <w:r>
        <w:t xml:space="preserve">ECCC notes that not all sections of the </w:t>
      </w:r>
      <w:r>
        <w:rPr>
          <w:i/>
        </w:rPr>
        <w:t>Plan for Compliance</w:t>
      </w:r>
      <w:r>
        <w:t xml:space="preserve"> have been updated with information relevant to the 2020 renewal process, and that several sections still contain references to planned activities in 2014 (i.e., from during the previous renewal process). </w:t>
      </w:r>
    </w:p>
    <w:p w14:paraId="736C0F6C" w14:textId="77777777" w:rsidR="00186612" w:rsidRDefault="00C6188F">
      <w:pPr>
        <w:spacing w:after="159" w:line="259" w:lineRule="auto"/>
        <w:ind w:left="355"/>
      </w:pPr>
      <w:r>
        <w:rPr>
          <w:u w:val="single" w:color="595959"/>
        </w:rPr>
        <w:t>ECCC Recommendation(s)</w:t>
      </w:r>
      <w:r>
        <w:t xml:space="preserve"> </w:t>
      </w:r>
    </w:p>
    <w:p w14:paraId="1398904F" w14:textId="77777777" w:rsidR="00186612" w:rsidRDefault="00C6188F">
      <w:pPr>
        <w:spacing w:after="160"/>
        <w:ind w:left="355"/>
      </w:pPr>
      <w:r>
        <w:t xml:space="preserve">ECCC recommends the Proponent revise the </w:t>
      </w:r>
      <w:r>
        <w:rPr>
          <w:i/>
        </w:rPr>
        <w:t>Plan for Compliance</w:t>
      </w:r>
      <w:r>
        <w:t xml:space="preserve"> in order to ensure that all information provided is updated and relevant to the current water licence renewal process. </w:t>
      </w:r>
    </w:p>
    <w:p w14:paraId="5EE4D3BB" w14:textId="76C67114" w:rsidR="00186612" w:rsidRPr="004E160D" w:rsidRDefault="00C6188F">
      <w:pPr>
        <w:spacing w:after="0" w:line="259" w:lineRule="auto"/>
        <w:ind w:left="0" w:firstLine="0"/>
        <w:rPr>
          <w:color w:val="00B050"/>
        </w:rPr>
      </w:pPr>
      <w:r>
        <w:rPr>
          <w:color w:val="000000"/>
        </w:rPr>
        <w:lastRenderedPageBreak/>
        <w:t xml:space="preserve"> </w:t>
      </w:r>
      <w:r w:rsidR="00CD2FD6" w:rsidRPr="004E160D">
        <w:rPr>
          <w:color w:val="00B050"/>
        </w:rPr>
        <w:t>Ans. The Updated Plan for Compliance is attached.</w:t>
      </w:r>
    </w:p>
    <w:p w14:paraId="35ED1529" w14:textId="77777777" w:rsidR="00CD2FD6" w:rsidRDefault="00CD2FD6">
      <w:pPr>
        <w:spacing w:after="0" w:line="259" w:lineRule="auto"/>
        <w:ind w:left="0" w:firstLine="0"/>
      </w:pPr>
    </w:p>
    <w:p w14:paraId="0B9B8D25" w14:textId="77777777" w:rsidR="00186612" w:rsidRDefault="00C6188F">
      <w:pPr>
        <w:ind w:left="10"/>
      </w:pPr>
      <w:r>
        <w:t xml:space="preserve">If you need more information, please contact Eva Walker at (867) 669-4744 or </w:t>
      </w:r>
      <w:r>
        <w:rPr>
          <w:color w:val="0563C1"/>
          <w:u w:val="single" w:color="0563C1"/>
        </w:rPr>
        <w:t>Eva.Walker@Canada.ca</w:t>
      </w:r>
      <w:r>
        <w:rPr>
          <w:color w:val="000000"/>
        </w:rPr>
        <w:t xml:space="preserve">.  </w:t>
      </w:r>
    </w:p>
    <w:p w14:paraId="6982809B" w14:textId="77777777" w:rsidR="00186612" w:rsidRDefault="00C6188F">
      <w:pPr>
        <w:spacing w:after="0" w:line="259" w:lineRule="auto"/>
        <w:ind w:left="0" w:firstLine="0"/>
      </w:pPr>
      <w:r>
        <w:rPr>
          <w:color w:val="000000"/>
        </w:rPr>
        <w:t xml:space="preserve"> </w:t>
      </w:r>
    </w:p>
    <w:p w14:paraId="4E8CB50A" w14:textId="77777777" w:rsidR="00186612" w:rsidRDefault="00C6188F">
      <w:pPr>
        <w:ind w:left="10"/>
      </w:pPr>
      <w:r>
        <w:t xml:space="preserve">Sincerely, </w:t>
      </w:r>
    </w:p>
    <w:p w14:paraId="070A2EB5" w14:textId="77777777" w:rsidR="00186612" w:rsidRDefault="00C6188F">
      <w:pPr>
        <w:spacing w:after="0" w:line="259" w:lineRule="auto"/>
        <w:ind w:left="0" w:firstLine="0"/>
      </w:pPr>
      <w:r>
        <w:t xml:space="preserve"> </w:t>
      </w:r>
    </w:p>
    <w:p w14:paraId="2CAE82B6" w14:textId="77777777" w:rsidR="00186612" w:rsidRDefault="00C6188F">
      <w:pPr>
        <w:spacing w:after="33" w:line="259" w:lineRule="auto"/>
        <w:ind w:left="0" w:firstLine="0"/>
      </w:pPr>
      <w:r>
        <w:t xml:space="preserve"> </w:t>
      </w:r>
    </w:p>
    <w:p w14:paraId="3DD9595B" w14:textId="77777777" w:rsidR="00186612" w:rsidRDefault="00C6188F">
      <w:pPr>
        <w:spacing w:after="0" w:line="259" w:lineRule="auto"/>
        <w:ind w:left="10"/>
      </w:pPr>
      <w:r>
        <w:t>[</w:t>
      </w:r>
      <w:r>
        <w:rPr>
          <w:i/>
        </w:rPr>
        <w:t>Original signed by</w:t>
      </w:r>
      <w:r>
        <w:rPr>
          <w:sz w:val="24"/>
        </w:rPr>
        <w:t>]</w:t>
      </w:r>
      <w:r>
        <w:t xml:space="preserve"> </w:t>
      </w:r>
    </w:p>
    <w:p w14:paraId="5645DEB6" w14:textId="77777777" w:rsidR="00186612" w:rsidRDefault="00C6188F">
      <w:pPr>
        <w:spacing w:after="0" w:line="259" w:lineRule="auto"/>
        <w:ind w:left="0" w:firstLine="0"/>
      </w:pPr>
      <w:r>
        <w:t xml:space="preserve"> </w:t>
      </w:r>
    </w:p>
    <w:p w14:paraId="517DC01C" w14:textId="77777777" w:rsidR="00186612" w:rsidRDefault="00C6188F">
      <w:pPr>
        <w:spacing w:after="0" w:line="259" w:lineRule="auto"/>
        <w:ind w:left="0" w:firstLine="0"/>
      </w:pPr>
      <w:r>
        <w:t xml:space="preserve"> </w:t>
      </w:r>
    </w:p>
    <w:p w14:paraId="603FE3C3" w14:textId="77777777" w:rsidR="00186612" w:rsidRDefault="00C6188F">
      <w:pPr>
        <w:ind w:left="10"/>
      </w:pPr>
      <w:r>
        <w:t xml:space="preserve">Eva Walker </w:t>
      </w:r>
    </w:p>
    <w:p w14:paraId="0E1197C5" w14:textId="77777777" w:rsidR="00186612" w:rsidRDefault="00C6188F">
      <w:pPr>
        <w:ind w:left="10"/>
      </w:pPr>
      <w:r>
        <w:t xml:space="preserve">Environmental Assessment Coordinator </w:t>
      </w:r>
    </w:p>
    <w:p w14:paraId="53F81192" w14:textId="77777777" w:rsidR="00186612" w:rsidRDefault="00C6188F">
      <w:pPr>
        <w:spacing w:after="0" w:line="259" w:lineRule="auto"/>
        <w:ind w:left="0" w:firstLine="0"/>
      </w:pPr>
      <w:r>
        <w:t xml:space="preserve"> </w:t>
      </w:r>
    </w:p>
    <w:p w14:paraId="6EC6DFEF" w14:textId="77777777" w:rsidR="00186612" w:rsidRDefault="00C6188F">
      <w:pPr>
        <w:ind w:left="10"/>
      </w:pPr>
      <w:r>
        <w:t xml:space="preserve">Attachment(s): </w:t>
      </w:r>
    </w:p>
    <w:p w14:paraId="5E89C21E" w14:textId="77777777" w:rsidR="00186612" w:rsidRDefault="00C6188F">
      <w:pPr>
        <w:spacing w:after="3" w:line="259" w:lineRule="auto"/>
        <w:ind w:left="0" w:firstLine="0"/>
      </w:pPr>
      <w:r>
        <w:rPr>
          <w:sz w:val="20"/>
        </w:rPr>
        <w:t xml:space="preserve"> </w:t>
      </w:r>
    </w:p>
    <w:p w14:paraId="65E8E11F" w14:textId="77777777" w:rsidR="00186612" w:rsidRDefault="00C6188F">
      <w:pPr>
        <w:tabs>
          <w:tab w:val="center" w:pos="4124"/>
        </w:tabs>
        <w:spacing w:after="0" w:line="259" w:lineRule="auto"/>
        <w:ind w:left="0" w:firstLine="0"/>
      </w:pPr>
      <w:r>
        <w:rPr>
          <w:sz w:val="20"/>
        </w:rPr>
        <w:t xml:space="preserve">cc: </w:t>
      </w:r>
      <w:r>
        <w:rPr>
          <w:sz w:val="20"/>
        </w:rPr>
        <w:tab/>
        <w:t xml:space="preserve">John </w:t>
      </w:r>
      <w:proofErr w:type="spellStart"/>
      <w:r>
        <w:rPr>
          <w:sz w:val="20"/>
        </w:rPr>
        <w:t>Olyslager</w:t>
      </w:r>
      <w:proofErr w:type="spellEnd"/>
      <w:r>
        <w:rPr>
          <w:sz w:val="20"/>
        </w:rPr>
        <w:t xml:space="preserve">, Acting Head, Environmental Assessment North (NT and NU) </w:t>
      </w:r>
    </w:p>
    <w:sectPr w:rsidR="00186612">
      <w:pgSz w:w="12240" w:h="15800"/>
      <w:pgMar w:top="1445" w:right="1441" w:bottom="142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B72124"/>
    <w:multiLevelType w:val="hybridMultilevel"/>
    <w:tmpl w:val="2826AB9E"/>
    <w:lvl w:ilvl="0" w:tplc="476672DE">
      <w:start w:val="2"/>
      <w:numFmt w:val="decimal"/>
      <w:lvlText w:val="%1."/>
      <w:lvlJc w:val="left"/>
      <w:pPr>
        <w:ind w:left="360"/>
      </w:pPr>
      <w:rPr>
        <w:rFonts w:ascii="Arial" w:eastAsia="Arial" w:hAnsi="Arial" w:cs="Arial"/>
        <w:b/>
        <w:bCs/>
        <w:i w:val="0"/>
        <w:strike w:val="0"/>
        <w:dstrike w:val="0"/>
        <w:color w:val="595959"/>
        <w:sz w:val="22"/>
        <w:szCs w:val="22"/>
        <w:u w:val="none" w:color="000000"/>
        <w:bdr w:val="none" w:sz="0" w:space="0" w:color="auto"/>
        <w:shd w:val="clear" w:color="auto" w:fill="auto"/>
        <w:vertAlign w:val="baseline"/>
      </w:rPr>
    </w:lvl>
    <w:lvl w:ilvl="1" w:tplc="32F2D91C">
      <w:start w:val="1"/>
      <w:numFmt w:val="bullet"/>
      <w:lvlText w:val="•"/>
      <w:lvlJc w:val="left"/>
      <w:pPr>
        <w:ind w:left="1067"/>
      </w:pPr>
      <w:rPr>
        <w:rFonts w:ascii="Arial" w:eastAsia="Arial" w:hAnsi="Arial" w:cs="Arial"/>
        <w:b w:val="0"/>
        <w:i w:val="0"/>
        <w:strike w:val="0"/>
        <w:dstrike w:val="0"/>
        <w:color w:val="595959"/>
        <w:sz w:val="22"/>
        <w:szCs w:val="22"/>
        <w:u w:val="none" w:color="000000"/>
        <w:bdr w:val="none" w:sz="0" w:space="0" w:color="auto"/>
        <w:shd w:val="clear" w:color="auto" w:fill="auto"/>
        <w:vertAlign w:val="baseline"/>
      </w:rPr>
    </w:lvl>
    <w:lvl w:ilvl="2" w:tplc="B4AA5238">
      <w:start w:val="1"/>
      <w:numFmt w:val="bullet"/>
      <w:lvlText w:val="▪"/>
      <w:lvlJc w:val="left"/>
      <w:pPr>
        <w:ind w:left="1802"/>
      </w:pPr>
      <w:rPr>
        <w:rFonts w:ascii="Segoe UI Symbol" w:eastAsia="Segoe UI Symbol" w:hAnsi="Segoe UI Symbol" w:cs="Segoe UI Symbol"/>
        <w:b w:val="0"/>
        <w:i w:val="0"/>
        <w:strike w:val="0"/>
        <w:dstrike w:val="0"/>
        <w:color w:val="595959"/>
        <w:sz w:val="22"/>
        <w:szCs w:val="22"/>
        <w:u w:val="none" w:color="000000"/>
        <w:bdr w:val="none" w:sz="0" w:space="0" w:color="auto"/>
        <w:shd w:val="clear" w:color="auto" w:fill="auto"/>
        <w:vertAlign w:val="baseline"/>
      </w:rPr>
    </w:lvl>
    <w:lvl w:ilvl="3" w:tplc="AB5EE7BC">
      <w:start w:val="1"/>
      <w:numFmt w:val="bullet"/>
      <w:lvlText w:val="•"/>
      <w:lvlJc w:val="left"/>
      <w:pPr>
        <w:ind w:left="2522"/>
      </w:pPr>
      <w:rPr>
        <w:rFonts w:ascii="Arial" w:eastAsia="Arial" w:hAnsi="Arial" w:cs="Arial"/>
        <w:b w:val="0"/>
        <w:i w:val="0"/>
        <w:strike w:val="0"/>
        <w:dstrike w:val="0"/>
        <w:color w:val="595959"/>
        <w:sz w:val="22"/>
        <w:szCs w:val="22"/>
        <w:u w:val="none" w:color="000000"/>
        <w:bdr w:val="none" w:sz="0" w:space="0" w:color="auto"/>
        <w:shd w:val="clear" w:color="auto" w:fill="auto"/>
        <w:vertAlign w:val="baseline"/>
      </w:rPr>
    </w:lvl>
    <w:lvl w:ilvl="4" w:tplc="B51C9DE8">
      <w:start w:val="1"/>
      <w:numFmt w:val="bullet"/>
      <w:lvlText w:val="o"/>
      <w:lvlJc w:val="left"/>
      <w:pPr>
        <w:ind w:left="3242"/>
      </w:pPr>
      <w:rPr>
        <w:rFonts w:ascii="Segoe UI Symbol" w:eastAsia="Segoe UI Symbol" w:hAnsi="Segoe UI Symbol" w:cs="Segoe UI Symbol"/>
        <w:b w:val="0"/>
        <w:i w:val="0"/>
        <w:strike w:val="0"/>
        <w:dstrike w:val="0"/>
        <w:color w:val="595959"/>
        <w:sz w:val="22"/>
        <w:szCs w:val="22"/>
        <w:u w:val="none" w:color="000000"/>
        <w:bdr w:val="none" w:sz="0" w:space="0" w:color="auto"/>
        <w:shd w:val="clear" w:color="auto" w:fill="auto"/>
        <w:vertAlign w:val="baseline"/>
      </w:rPr>
    </w:lvl>
    <w:lvl w:ilvl="5" w:tplc="654A4CB6">
      <w:start w:val="1"/>
      <w:numFmt w:val="bullet"/>
      <w:lvlText w:val="▪"/>
      <w:lvlJc w:val="left"/>
      <w:pPr>
        <w:ind w:left="3962"/>
      </w:pPr>
      <w:rPr>
        <w:rFonts w:ascii="Segoe UI Symbol" w:eastAsia="Segoe UI Symbol" w:hAnsi="Segoe UI Symbol" w:cs="Segoe UI Symbol"/>
        <w:b w:val="0"/>
        <w:i w:val="0"/>
        <w:strike w:val="0"/>
        <w:dstrike w:val="0"/>
        <w:color w:val="595959"/>
        <w:sz w:val="22"/>
        <w:szCs w:val="22"/>
        <w:u w:val="none" w:color="000000"/>
        <w:bdr w:val="none" w:sz="0" w:space="0" w:color="auto"/>
        <w:shd w:val="clear" w:color="auto" w:fill="auto"/>
        <w:vertAlign w:val="baseline"/>
      </w:rPr>
    </w:lvl>
    <w:lvl w:ilvl="6" w:tplc="7B725C64">
      <w:start w:val="1"/>
      <w:numFmt w:val="bullet"/>
      <w:lvlText w:val="•"/>
      <w:lvlJc w:val="left"/>
      <w:pPr>
        <w:ind w:left="4682"/>
      </w:pPr>
      <w:rPr>
        <w:rFonts w:ascii="Arial" w:eastAsia="Arial" w:hAnsi="Arial" w:cs="Arial"/>
        <w:b w:val="0"/>
        <w:i w:val="0"/>
        <w:strike w:val="0"/>
        <w:dstrike w:val="0"/>
        <w:color w:val="595959"/>
        <w:sz w:val="22"/>
        <w:szCs w:val="22"/>
        <w:u w:val="none" w:color="000000"/>
        <w:bdr w:val="none" w:sz="0" w:space="0" w:color="auto"/>
        <w:shd w:val="clear" w:color="auto" w:fill="auto"/>
        <w:vertAlign w:val="baseline"/>
      </w:rPr>
    </w:lvl>
    <w:lvl w:ilvl="7" w:tplc="E4F89498">
      <w:start w:val="1"/>
      <w:numFmt w:val="bullet"/>
      <w:lvlText w:val="o"/>
      <w:lvlJc w:val="left"/>
      <w:pPr>
        <w:ind w:left="5402"/>
      </w:pPr>
      <w:rPr>
        <w:rFonts w:ascii="Segoe UI Symbol" w:eastAsia="Segoe UI Symbol" w:hAnsi="Segoe UI Symbol" w:cs="Segoe UI Symbol"/>
        <w:b w:val="0"/>
        <w:i w:val="0"/>
        <w:strike w:val="0"/>
        <w:dstrike w:val="0"/>
        <w:color w:val="595959"/>
        <w:sz w:val="22"/>
        <w:szCs w:val="22"/>
        <w:u w:val="none" w:color="000000"/>
        <w:bdr w:val="none" w:sz="0" w:space="0" w:color="auto"/>
        <w:shd w:val="clear" w:color="auto" w:fill="auto"/>
        <w:vertAlign w:val="baseline"/>
      </w:rPr>
    </w:lvl>
    <w:lvl w:ilvl="8" w:tplc="38CEC2C8">
      <w:start w:val="1"/>
      <w:numFmt w:val="bullet"/>
      <w:lvlText w:val="▪"/>
      <w:lvlJc w:val="left"/>
      <w:pPr>
        <w:ind w:left="6122"/>
      </w:pPr>
      <w:rPr>
        <w:rFonts w:ascii="Segoe UI Symbol" w:eastAsia="Segoe UI Symbol" w:hAnsi="Segoe UI Symbol" w:cs="Segoe UI Symbol"/>
        <w:b w:val="0"/>
        <w:i w:val="0"/>
        <w:strike w:val="0"/>
        <w:dstrike w:val="0"/>
        <w:color w:val="595959"/>
        <w:sz w:val="22"/>
        <w:szCs w:val="22"/>
        <w:u w:val="none" w:color="000000"/>
        <w:bdr w:val="none" w:sz="0" w:space="0" w:color="auto"/>
        <w:shd w:val="clear" w:color="auto" w:fill="auto"/>
        <w:vertAlign w:val="baseline"/>
      </w:rPr>
    </w:lvl>
  </w:abstractNum>
  <w:abstractNum w:abstractNumId="1" w15:restartNumberingAfterBreak="0">
    <w:nsid w:val="6F596D8E"/>
    <w:multiLevelType w:val="hybridMultilevel"/>
    <w:tmpl w:val="495E2982"/>
    <w:lvl w:ilvl="0" w:tplc="B2A0462C">
      <w:start w:val="1"/>
      <w:numFmt w:val="bullet"/>
      <w:lvlText w:val="•"/>
      <w:lvlJc w:val="left"/>
      <w:pPr>
        <w:ind w:left="1140"/>
      </w:pPr>
      <w:rPr>
        <w:rFonts w:ascii="Arial" w:eastAsia="Arial" w:hAnsi="Arial" w:cs="Arial"/>
        <w:b w:val="0"/>
        <w:i w:val="0"/>
        <w:strike w:val="0"/>
        <w:dstrike w:val="0"/>
        <w:color w:val="595959"/>
        <w:sz w:val="22"/>
        <w:szCs w:val="22"/>
        <w:u w:val="none" w:color="000000"/>
        <w:bdr w:val="none" w:sz="0" w:space="0" w:color="auto"/>
        <w:shd w:val="clear" w:color="auto" w:fill="auto"/>
        <w:vertAlign w:val="baseline"/>
      </w:rPr>
    </w:lvl>
    <w:lvl w:ilvl="1" w:tplc="9C5281DC">
      <w:start w:val="1"/>
      <w:numFmt w:val="bullet"/>
      <w:lvlText w:val="o"/>
      <w:lvlJc w:val="left"/>
      <w:pPr>
        <w:ind w:left="1860"/>
      </w:pPr>
      <w:rPr>
        <w:rFonts w:ascii="Segoe UI Symbol" w:eastAsia="Segoe UI Symbol" w:hAnsi="Segoe UI Symbol" w:cs="Segoe UI Symbol"/>
        <w:b w:val="0"/>
        <w:i w:val="0"/>
        <w:strike w:val="0"/>
        <w:dstrike w:val="0"/>
        <w:color w:val="595959"/>
        <w:sz w:val="22"/>
        <w:szCs w:val="22"/>
        <w:u w:val="none" w:color="000000"/>
        <w:bdr w:val="none" w:sz="0" w:space="0" w:color="auto"/>
        <w:shd w:val="clear" w:color="auto" w:fill="auto"/>
        <w:vertAlign w:val="baseline"/>
      </w:rPr>
    </w:lvl>
    <w:lvl w:ilvl="2" w:tplc="6A6C3CD2">
      <w:start w:val="1"/>
      <w:numFmt w:val="bullet"/>
      <w:lvlText w:val="▪"/>
      <w:lvlJc w:val="left"/>
      <w:pPr>
        <w:ind w:left="2580"/>
      </w:pPr>
      <w:rPr>
        <w:rFonts w:ascii="Segoe UI Symbol" w:eastAsia="Segoe UI Symbol" w:hAnsi="Segoe UI Symbol" w:cs="Segoe UI Symbol"/>
        <w:b w:val="0"/>
        <w:i w:val="0"/>
        <w:strike w:val="0"/>
        <w:dstrike w:val="0"/>
        <w:color w:val="595959"/>
        <w:sz w:val="22"/>
        <w:szCs w:val="22"/>
        <w:u w:val="none" w:color="000000"/>
        <w:bdr w:val="none" w:sz="0" w:space="0" w:color="auto"/>
        <w:shd w:val="clear" w:color="auto" w:fill="auto"/>
        <w:vertAlign w:val="baseline"/>
      </w:rPr>
    </w:lvl>
    <w:lvl w:ilvl="3" w:tplc="AF04A2DC">
      <w:start w:val="1"/>
      <w:numFmt w:val="bullet"/>
      <w:lvlText w:val="•"/>
      <w:lvlJc w:val="left"/>
      <w:pPr>
        <w:ind w:left="3300"/>
      </w:pPr>
      <w:rPr>
        <w:rFonts w:ascii="Arial" w:eastAsia="Arial" w:hAnsi="Arial" w:cs="Arial"/>
        <w:b w:val="0"/>
        <w:i w:val="0"/>
        <w:strike w:val="0"/>
        <w:dstrike w:val="0"/>
        <w:color w:val="595959"/>
        <w:sz w:val="22"/>
        <w:szCs w:val="22"/>
        <w:u w:val="none" w:color="000000"/>
        <w:bdr w:val="none" w:sz="0" w:space="0" w:color="auto"/>
        <w:shd w:val="clear" w:color="auto" w:fill="auto"/>
        <w:vertAlign w:val="baseline"/>
      </w:rPr>
    </w:lvl>
    <w:lvl w:ilvl="4" w:tplc="408CA4A6">
      <w:start w:val="1"/>
      <w:numFmt w:val="bullet"/>
      <w:lvlText w:val="o"/>
      <w:lvlJc w:val="left"/>
      <w:pPr>
        <w:ind w:left="4020"/>
      </w:pPr>
      <w:rPr>
        <w:rFonts w:ascii="Segoe UI Symbol" w:eastAsia="Segoe UI Symbol" w:hAnsi="Segoe UI Symbol" w:cs="Segoe UI Symbol"/>
        <w:b w:val="0"/>
        <w:i w:val="0"/>
        <w:strike w:val="0"/>
        <w:dstrike w:val="0"/>
        <w:color w:val="595959"/>
        <w:sz w:val="22"/>
        <w:szCs w:val="22"/>
        <w:u w:val="none" w:color="000000"/>
        <w:bdr w:val="none" w:sz="0" w:space="0" w:color="auto"/>
        <w:shd w:val="clear" w:color="auto" w:fill="auto"/>
        <w:vertAlign w:val="baseline"/>
      </w:rPr>
    </w:lvl>
    <w:lvl w:ilvl="5" w:tplc="1D66357E">
      <w:start w:val="1"/>
      <w:numFmt w:val="bullet"/>
      <w:lvlText w:val="▪"/>
      <w:lvlJc w:val="left"/>
      <w:pPr>
        <w:ind w:left="4740"/>
      </w:pPr>
      <w:rPr>
        <w:rFonts w:ascii="Segoe UI Symbol" w:eastAsia="Segoe UI Symbol" w:hAnsi="Segoe UI Symbol" w:cs="Segoe UI Symbol"/>
        <w:b w:val="0"/>
        <w:i w:val="0"/>
        <w:strike w:val="0"/>
        <w:dstrike w:val="0"/>
        <w:color w:val="595959"/>
        <w:sz w:val="22"/>
        <w:szCs w:val="22"/>
        <w:u w:val="none" w:color="000000"/>
        <w:bdr w:val="none" w:sz="0" w:space="0" w:color="auto"/>
        <w:shd w:val="clear" w:color="auto" w:fill="auto"/>
        <w:vertAlign w:val="baseline"/>
      </w:rPr>
    </w:lvl>
    <w:lvl w:ilvl="6" w:tplc="A8E037FC">
      <w:start w:val="1"/>
      <w:numFmt w:val="bullet"/>
      <w:lvlText w:val="•"/>
      <w:lvlJc w:val="left"/>
      <w:pPr>
        <w:ind w:left="5460"/>
      </w:pPr>
      <w:rPr>
        <w:rFonts w:ascii="Arial" w:eastAsia="Arial" w:hAnsi="Arial" w:cs="Arial"/>
        <w:b w:val="0"/>
        <w:i w:val="0"/>
        <w:strike w:val="0"/>
        <w:dstrike w:val="0"/>
        <w:color w:val="595959"/>
        <w:sz w:val="22"/>
        <w:szCs w:val="22"/>
        <w:u w:val="none" w:color="000000"/>
        <w:bdr w:val="none" w:sz="0" w:space="0" w:color="auto"/>
        <w:shd w:val="clear" w:color="auto" w:fill="auto"/>
        <w:vertAlign w:val="baseline"/>
      </w:rPr>
    </w:lvl>
    <w:lvl w:ilvl="7" w:tplc="504E4F8C">
      <w:start w:val="1"/>
      <w:numFmt w:val="bullet"/>
      <w:lvlText w:val="o"/>
      <w:lvlJc w:val="left"/>
      <w:pPr>
        <w:ind w:left="6180"/>
      </w:pPr>
      <w:rPr>
        <w:rFonts w:ascii="Segoe UI Symbol" w:eastAsia="Segoe UI Symbol" w:hAnsi="Segoe UI Symbol" w:cs="Segoe UI Symbol"/>
        <w:b w:val="0"/>
        <w:i w:val="0"/>
        <w:strike w:val="0"/>
        <w:dstrike w:val="0"/>
        <w:color w:val="595959"/>
        <w:sz w:val="22"/>
        <w:szCs w:val="22"/>
        <w:u w:val="none" w:color="000000"/>
        <w:bdr w:val="none" w:sz="0" w:space="0" w:color="auto"/>
        <w:shd w:val="clear" w:color="auto" w:fill="auto"/>
        <w:vertAlign w:val="baseline"/>
      </w:rPr>
    </w:lvl>
    <w:lvl w:ilvl="8" w:tplc="38D25334">
      <w:start w:val="1"/>
      <w:numFmt w:val="bullet"/>
      <w:lvlText w:val="▪"/>
      <w:lvlJc w:val="left"/>
      <w:pPr>
        <w:ind w:left="6900"/>
      </w:pPr>
      <w:rPr>
        <w:rFonts w:ascii="Segoe UI Symbol" w:eastAsia="Segoe UI Symbol" w:hAnsi="Segoe UI Symbol" w:cs="Segoe UI Symbol"/>
        <w:b w:val="0"/>
        <w:i w:val="0"/>
        <w:strike w:val="0"/>
        <w:dstrike w:val="0"/>
        <w:color w:val="595959"/>
        <w:sz w:val="22"/>
        <w:szCs w:val="22"/>
        <w:u w:val="none" w:color="000000"/>
        <w:bdr w:val="none" w:sz="0" w:space="0" w:color="auto"/>
        <w:shd w:val="clear" w:color="auto" w:fill="auto"/>
        <w:vertAlign w:val="baseline"/>
      </w:rPr>
    </w:lvl>
  </w:abstractNum>
  <w:abstractNum w:abstractNumId="2" w15:restartNumberingAfterBreak="0">
    <w:nsid w:val="7D021A8D"/>
    <w:multiLevelType w:val="hybridMultilevel"/>
    <w:tmpl w:val="93803386"/>
    <w:lvl w:ilvl="0" w:tplc="01A6BDEA">
      <w:start w:val="1"/>
      <w:numFmt w:val="bullet"/>
      <w:lvlText w:val="•"/>
      <w:lvlJc w:val="left"/>
      <w:pPr>
        <w:ind w:left="360"/>
      </w:pPr>
      <w:rPr>
        <w:rFonts w:ascii="Arial" w:eastAsia="Arial" w:hAnsi="Arial" w:cs="Arial"/>
        <w:b w:val="0"/>
        <w:i w:val="0"/>
        <w:strike w:val="0"/>
        <w:dstrike w:val="0"/>
        <w:color w:val="595959"/>
        <w:sz w:val="22"/>
        <w:szCs w:val="22"/>
        <w:u w:val="none" w:color="000000"/>
        <w:bdr w:val="none" w:sz="0" w:space="0" w:color="auto"/>
        <w:shd w:val="clear" w:color="auto" w:fill="auto"/>
        <w:vertAlign w:val="baseline"/>
      </w:rPr>
    </w:lvl>
    <w:lvl w:ilvl="1" w:tplc="6436CC94">
      <w:start w:val="1"/>
      <w:numFmt w:val="bullet"/>
      <w:lvlText w:val="-"/>
      <w:lvlJc w:val="left"/>
      <w:pPr>
        <w:ind w:left="1082"/>
      </w:pPr>
      <w:rPr>
        <w:rFonts w:ascii="Arial" w:eastAsia="Arial" w:hAnsi="Arial" w:cs="Arial"/>
        <w:b w:val="0"/>
        <w:i w:val="0"/>
        <w:strike w:val="0"/>
        <w:dstrike w:val="0"/>
        <w:color w:val="595959"/>
        <w:sz w:val="22"/>
        <w:szCs w:val="22"/>
        <w:u w:val="none" w:color="000000"/>
        <w:bdr w:val="none" w:sz="0" w:space="0" w:color="auto"/>
        <w:shd w:val="clear" w:color="auto" w:fill="auto"/>
        <w:vertAlign w:val="baseline"/>
      </w:rPr>
    </w:lvl>
    <w:lvl w:ilvl="2" w:tplc="DA28EE84">
      <w:start w:val="1"/>
      <w:numFmt w:val="bullet"/>
      <w:lvlText w:val="▪"/>
      <w:lvlJc w:val="left"/>
      <w:pPr>
        <w:ind w:left="1802"/>
      </w:pPr>
      <w:rPr>
        <w:rFonts w:ascii="Arial" w:eastAsia="Arial" w:hAnsi="Arial" w:cs="Arial"/>
        <w:b w:val="0"/>
        <w:i w:val="0"/>
        <w:strike w:val="0"/>
        <w:dstrike w:val="0"/>
        <w:color w:val="595959"/>
        <w:sz w:val="22"/>
        <w:szCs w:val="22"/>
        <w:u w:val="none" w:color="000000"/>
        <w:bdr w:val="none" w:sz="0" w:space="0" w:color="auto"/>
        <w:shd w:val="clear" w:color="auto" w:fill="auto"/>
        <w:vertAlign w:val="baseline"/>
      </w:rPr>
    </w:lvl>
    <w:lvl w:ilvl="3" w:tplc="02389BAC">
      <w:start w:val="1"/>
      <w:numFmt w:val="bullet"/>
      <w:lvlText w:val="•"/>
      <w:lvlJc w:val="left"/>
      <w:pPr>
        <w:ind w:left="2522"/>
      </w:pPr>
      <w:rPr>
        <w:rFonts w:ascii="Arial" w:eastAsia="Arial" w:hAnsi="Arial" w:cs="Arial"/>
        <w:b w:val="0"/>
        <w:i w:val="0"/>
        <w:strike w:val="0"/>
        <w:dstrike w:val="0"/>
        <w:color w:val="595959"/>
        <w:sz w:val="22"/>
        <w:szCs w:val="22"/>
        <w:u w:val="none" w:color="000000"/>
        <w:bdr w:val="none" w:sz="0" w:space="0" w:color="auto"/>
        <w:shd w:val="clear" w:color="auto" w:fill="auto"/>
        <w:vertAlign w:val="baseline"/>
      </w:rPr>
    </w:lvl>
    <w:lvl w:ilvl="4" w:tplc="B128DC0C">
      <w:start w:val="1"/>
      <w:numFmt w:val="bullet"/>
      <w:lvlText w:val="o"/>
      <w:lvlJc w:val="left"/>
      <w:pPr>
        <w:ind w:left="3242"/>
      </w:pPr>
      <w:rPr>
        <w:rFonts w:ascii="Arial" w:eastAsia="Arial" w:hAnsi="Arial" w:cs="Arial"/>
        <w:b w:val="0"/>
        <w:i w:val="0"/>
        <w:strike w:val="0"/>
        <w:dstrike w:val="0"/>
        <w:color w:val="595959"/>
        <w:sz w:val="22"/>
        <w:szCs w:val="22"/>
        <w:u w:val="none" w:color="000000"/>
        <w:bdr w:val="none" w:sz="0" w:space="0" w:color="auto"/>
        <w:shd w:val="clear" w:color="auto" w:fill="auto"/>
        <w:vertAlign w:val="baseline"/>
      </w:rPr>
    </w:lvl>
    <w:lvl w:ilvl="5" w:tplc="54C45246">
      <w:start w:val="1"/>
      <w:numFmt w:val="bullet"/>
      <w:lvlText w:val="▪"/>
      <w:lvlJc w:val="left"/>
      <w:pPr>
        <w:ind w:left="3962"/>
      </w:pPr>
      <w:rPr>
        <w:rFonts w:ascii="Arial" w:eastAsia="Arial" w:hAnsi="Arial" w:cs="Arial"/>
        <w:b w:val="0"/>
        <w:i w:val="0"/>
        <w:strike w:val="0"/>
        <w:dstrike w:val="0"/>
        <w:color w:val="595959"/>
        <w:sz w:val="22"/>
        <w:szCs w:val="22"/>
        <w:u w:val="none" w:color="000000"/>
        <w:bdr w:val="none" w:sz="0" w:space="0" w:color="auto"/>
        <w:shd w:val="clear" w:color="auto" w:fill="auto"/>
        <w:vertAlign w:val="baseline"/>
      </w:rPr>
    </w:lvl>
    <w:lvl w:ilvl="6" w:tplc="C454521E">
      <w:start w:val="1"/>
      <w:numFmt w:val="bullet"/>
      <w:lvlText w:val="•"/>
      <w:lvlJc w:val="left"/>
      <w:pPr>
        <w:ind w:left="4682"/>
      </w:pPr>
      <w:rPr>
        <w:rFonts w:ascii="Arial" w:eastAsia="Arial" w:hAnsi="Arial" w:cs="Arial"/>
        <w:b w:val="0"/>
        <w:i w:val="0"/>
        <w:strike w:val="0"/>
        <w:dstrike w:val="0"/>
        <w:color w:val="595959"/>
        <w:sz w:val="22"/>
        <w:szCs w:val="22"/>
        <w:u w:val="none" w:color="000000"/>
        <w:bdr w:val="none" w:sz="0" w:space="0" w:color="auto"/>
        <w:shd w:val="clear" w:color="auto" w:fill="auto"/>
        <w:vertAlign w:val="baseline"/>
      </w:rPr>
    </w:lvl>
    <w:lvl w:ilvl="7" w:tplc="A05C6E7A">
      <w:start w:val="1"/>
      <w:numFmt w:val="bullet"/>
      <w:lvlText w:val="o"/>
      <w:lvlJc w:val="left"/>
      <w:pPr>
        <w:ind w:left="5402"/>
      </w:pPr>
      <w:rPr>
        <w:rFonts w:ascii="Arial" w:eastAsia="Arial" w:hAnsi="Arial" w:cs="Arial"/>
        <w:b w:val="0"/>
        <w:i w:val="0"/>
        <w:strike w:val="0"/>
        <w:dstrike w:val="0"/>
        <w:color w:val="595959"/>
        <w:sz w:val="22"/>
        <w:szCs w:val="22"/>
        <w:u w:val="none" w:color="000000"/>
        <w:bdr w:val="none" w:sz="0" w:space="0" w:color="auto"/>
        <w:shd w:val="clear" w:color="auto" w:fill="auto"/>
        <w:vertAlign w:val="baseline"/>
      </w:rPr>
    </w:lvl>
    <w:lvl w:ilvl="8" w:tplc="D160DB5E">
      <w:start w:val="1"/>
      <w:numFmt w:val="bullet"/>
      <w:lvlText w:val="▪"/>
      <w:lvlJc w:val="left"/>
      <w:pPr>
        <w:ind w:left="6122"/>
      </w:pPr>
      <w:rPr>
        <w:rFonts w:ascii="Arial" w:eastAsia="Arial" w:hAnsi="Arial" w:cs="Arial"/>
        <w:b w:val="0"/>
        <w:i w:val="0"/>
        <w:strike w:val="0"/>
        <w:dstrike w:val="0"/>
        <w:color w:val="595959"/>
        <w:sz w:val="22"/>
        <w:szCs w:val="22"/>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612"/>
    <w:rsid w:val="00186612"/>
    <w:rsid w:val="004E160D"/>
    <w:rsid w:val="00997196"/>
    <w:rsid w:val="00A45A77"/>
    <w:rsid w:val="00B724A8"/>
    <w:rsid w:val="00C6188F"/>
    <w:rsid w:val="00CD2FD6"/>
    <w:rsid w:val="00F670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3ECD8"/>
  <w15:docId w15:val="{D1758647-7499-423D-AC49-B934C558B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57" w:lineRule="auto"/>
      <w:ind w:left="790" w:hanging="10"/>
    </w:pPr>
    <w:rPr>
      <w:rFonts w:ascii="Arial" w:eastAsia="Arial" w:hAnsi="Arial" w:cs="Arial"/>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Hamlet of Pond Inlet Water Licence Renewal</vt:lpstr>
    </vt:vector>
  </TitlesOfParts>
  <Company>Government of Nunavut</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Hamlet of Pond Inlet Water Licence Renewal</dc:title>
  <dc:subject/>
  <dc:creator>Eva Walker</dc:creator>
  <cp:keywords/>
  <cp:lastModifiedBy>Roy, Bhabesh</cp:lastModifiedBy>
  <cp:revision>2</cp:revision>
  <dcterms:created xsi:type="dcterms:W3CDTF">2020-04-23T17:40:00Z</dcterms:created>
  <dcterms:modified xsi:type="dcterms:W3CDTF">2020-04-23T17:40:00Z</dcterms:modified>
</cp:coreProperties>
</file>