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53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960"/>
        <w:gridCol w:w="2340"/>
        <w:gridCol w:w="3060"/>
        <w:gridCol w:w="3690"/>
        <w:gridCol w:w="2880"/>
        <w:gridCol w:w="2700"/>
      </w:tblGrid>
      <w:tr w:rsidR="00992B30" w:rsidTr="002A5EAD">
        <w:tc>
          <w:tcPr>
            <w:tcW w:w="4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51B58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640C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Short Term Plan for Compliance </w:t>
            </w:r>
          </w:p>
          <w:p w:rsidR="00992B30" w:rsidRPr="00751B58" w:rsidRDefault="00992B30" w:rsidP="00ED640C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640C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Long Term Plan for Compliance </w:t>
            </w:r>
          </w:p>
          <w:p w:rsidR="00992B30" w:rsidRPr="00751B58" w:rsidRDefault="00992B30" w:rsidP="00ED64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</w:tr>
      <w:tr w:rsidR="00746AA5" w:rsidTr="002A5EAD">
        <w:trPr>
          <w:trHeight w:val="1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37657A" w:rsidP="00ED640C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751B58">
              <w:rPr>
                <w:rFonts w:cstheme="minorHAnsi"/>
                <w:sz w:val="20"/>
                <w:szCs w:val="20"/>
                <w:u w:val="single"/>
              </w:rPr>
              <w:t>Part B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37657A" w:rsidP="00ED640C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751B58">
              <w:rPr>
                <w:rFonts w:cstheme="minorHAnsi"/>
                <w:sz w:val="20"/>
                <w:szCs w:val="20"/>
                <w:u w:val="single"/>
              </w:rPr>
              <w:t>General Conditions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764D90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24DD6" w:rsidTr="002A5EAD">
        <w:trPr>
          <w:trHeight w:val="1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24DD6" w:rsidRPr="00751B58" w:rsidRDefault="00F24DD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B-1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F24DD6" w:rsidRPr="00DE10A6" w:rsidRDefault="00F24DD6" w:rsidP="00DE10A6">
            <w:pPr>
              <w:rPr>
                <w:rFonts w:cstheme="minorHAnsi"/>
                <w:sz w:val="20"/>
                <w:szCs w:val="20"/>
              </w:rPr>
            </w:pPr>
            <w:r w:rsidRPr="00DE10A6">
              <w:rPr>
                <w:rFonts w:cstheme="minorHAnsi"/>
                <w:sz w:val="20"/>
                <w:szCs w:val="20"/>
              </w:rPr>
              <w:t>The Licensee shall file an Annual Report with the Board not later than March 31st of the</w:t>
            </w:r>
          </w:p>
          <w:p w:rsidR="005C081F" w:rsidRPr="00FF0DCC" w:rsidRDefault="00F24DD6" w:rsidP="005C081F">
            <w:pPr>
              <w:rPr>
                <w:rFonts w:cstheme="minorHAnsi"/>
                <w:sz w:val="20"/>
                <w:szCs w:val="20"/>
              </w:rPr>
            </w:pPr>
            <w:r w:rsidRPr="00DE10A6">
              <w:rPr>
                <w:rFonts w:cstheme="minorHAnsi"/>
                <w:sz w:val="20"/>
                <w:szCs w:val="20"/>
              </w:rPr>
              <w:t xml:space="preserve">year following the calendar year reported </w:t>
            </w:r>
          </w:p>
          <w:p w:rsidR="00F24DD6" w:rsidRPr="00FF0DCC" w:rsidRDefault="00F24DD6" w:rsidP="005C081F">
            <w:pPr>
              <w:pStyle w:val="ListParagraph"/>
              <w:spacing w:after="80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24DD6" w:rsidRPr="00751B58" w:rsidRDefault="00F24DD6" w:rsidP="00F24DD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Non compliance - Hamlet Annual reports from 2004-2010 still outstanding 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24DD6" w:rsidRPr="00751B58" w:rsidRDefault="00F24DD6" w:rsidP="00F24DD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It is CGS’s intention to </w:t>
            </w:r>
            <w:r>
              <w:rPr>
                <w:rFonts w:cstheme="minorHAnsi"/>
                <w:sz w:val="20"/>
                <w:szCs w:val="20"/>
              </w:rPr>
              <w:t xml:space="preserve">ensure the communities </w:t>
            </w:r>
            <w:r w:rsidRPr="00751B58">
              <w:rPr>
                <w:rFonts w:cstheme="minorHAnsi"/>
                <w:sz w:val="20"/>
                <w:szCs w:val="20"/>
              </w:rPr>
              <w:t>submit the plans from 2004-2010 with all available information, operating from the most recent plan, i.e. 2010 and working backwards to the oldest plan, i.e. 2004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24DD6" w:rsidRPr="00751B58" w:rsidRDefault="00F24DD6" w:rsidP="00F24DD6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It is CGS’s intention to ensure that all annual reports are submitted </w:t>
            </w:r>
            <w:r>
              <w:rPr>
                <w:rFonts w:cstheme="minorHAnsi"/>
                <w:sz w:val="20"/>
                <w:szCs w:val="20"/>
              </w:rPr>
              <w:t>on before March 31</w:t>
            </w:r>
            <w:r w:rsidRPr="00B3487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F24DD6" w:rsidRPr="00751B58" w:rsidRDefault="00F24DD6" w:rsidP="00F24DD6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The community visit by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 xml:space="preserve"> is intended to be held prior to the end of February 2013 with a subsequent report issued prior to March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255A34" w:rsidRDefault="00255A34" w:rsidP="00255A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GN will monitor of ensure Annual Report submission by March 31</w:t>
            </w:r>
            <w:r w:rsidRPr="00B3487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255A34" w:rsidRDefault="00255A34" w:rsidP="00255A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This monitoring will include weekly checks of the Hamlet’s log sheets, along with monthly water committee meeting to discuss and action any issues. </w:t>
            </w:r>
          </w:p>
          <w:p w:rsidR="00255A34" w:rsidRDefault="00255A34" w:rsidP="00255A34">
            <w:pPr>
              <w:rPr>
                <w:rFonts w:cstheme="minorHAnsi"/>
                <w:sz w:val="20"/>
                <w:szCs w:val="20"/>
              </w:rPr>
            </w:pPr>
          </w:p>
          <w:p w:rsidR="00F24DD6" w:rsidRPr="00751B58" w:rsidRDefault="00F24DD6" w:rsidP="00F24D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F24DD6" w:rsidRPr="00751B58" w:rsidRDefault="00F24DD6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outstanding Annual Reports submitted on or before March</w:t>
            </w:r>
            <w:r w:rsidR="000469EB">
              <w:rPr>
                <w:rFonts w:cstheme="minorHAnsi"/>
                <w:sz w:val="20"/>
                <w:szCs w:val="20"/>
              </w:rPr>
              <w:t> 31</w:t>
            </w:r>
            <w:r w:rsidRPr="00B3487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0469EB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2013.</w:t>
            </w:r>
          </w:p>
        </w:tc>
      </w:tr>
      <w:tr w:rsidR="00CD1637" w:rsidTr="002A5EAD">
        <w:trPr>
          <w:trHeight w:val="170"/>
        </w:trPr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B-2</w:t>
            </w:r>
          </w:p>
        </w:tc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DE10A6" w:rsidRDefault="00CD1637" w:rsidP="00A5067A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302749">
              <w:rPr>
                <w:rFonts w:cstheme="minorHAnsi"/>
                <w:sz w:val="20"/>
                <w:szCs w:val="20"/>
              </w:rPr>
              <w:t>The Licensee shall comply with the “Monitoring Program” described in this Licence,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2749">
              <w:rPr>
                <w:rFonts w:cstheme="minorHAnsi"/>
                <w:sz w:val="20"/>
                <w:szCs w:val="20"/>
              </w:rPr>
              <w:t>any amendments to the “Monitoring Program” as may be made from time to time,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2749">
              <w:rPr>
                <w:rFonts w:cstheme="minorHAnsi"/>
                <w:sz w:val="20"/>
                <w:szCs w:val="20"/>
              </w:rPr>
              <w:t>pursuant to the conditions of this Licence.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F24DD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 - Please refer to section H for specific compliance issues</w:t>
            </w: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5C081F" w:rsidRDefault="005C081F" w:rsidP="000469EB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preparation of a QA/QC plan which identifies sampling protocols and testing requirements  </w:t>
            </w:r>
          </w:p>
          <w:p w:rsidR="00CD1637" w:rsidRPr="00751B58" w:rsidRDefault="00CD1637" w:rsidP="000469EB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</w:t>
            </w:r>
            <w:r w:rsidRPr="00751B58">
              <w:rPr>
                <w:rFonts w:cstheme="minorHAnsi"/>
                <w:sz w:val="20"/>
                <w:szCs w:val="20"/>
              </w:rPr>
              <w:t xml:space="preserve"> a monitoring</w:t>
            </w:r>
            <w:r>
              <w:rPr>
                <w:rFonts w:cstheme="minorHAnsi"/>
                <w:sz w:val="20"/>
                <w:szCs w:val="20"/>
              </w:rPr>
              <w:t xml:space="preserve"> action</w:t>
            </w:r>
            <w:r w:rsidRPr="00751B58">
              <w:rPr>
                <w:rFonts w:cstheme="minorHAnsi"/>
                <w:sz w:val="20"/>
                <w:szCs w:val="20"/>
              </w:rPr>
              <w:t xml:space="preserve"> plan</w:t>
            </w:r>
            <w:r>
              <w:rPr>
                <w:rFonts w:cstheme="minorHAnsi"/>
                <w:sz w:val="20"/>
                <w:szCs w:val="20"/>
              </w:rPr>
              <w:t xml:space="preserve"> for the community</w:t>
            </w:r>
            <w:r w:rsidRPr="00751B58">
              <w:rPr>
                <w:rFonts w:cstheme="minorHAnsi"/>
                <w:sz w:val="20"/>
                <w:szCs w:val="20"/>
              </w:rPr>
              <w:t xml:space="preserve"> which meets the requirements of the water licence </w:t>
            </w:r>
          </w:p>
          <w:p w:rsidR="00CD1637" w:rsidRPr="00751B58" w:rsidRDefault="00CD1637" w:rsidP="005C081F">
            <w:pPr>
              <w:pStyle w:val="ListParagraph"/>
              <w:ind w:left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0469EB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Action Plan</w:t>
            </w:r>
            <w:r w:rsidRPr="00751B58">
              <w:rPr>
                <w:rFonts w:cstheme="minorHAnsi"/>
                <w:sz w:val="20"/>
                <w:szCs w:val="20"/>
              </w:rPr>
              <w:t xml:space="preserve"> including procedures and QA/QC protocols prepared by June 1st, 2013</w:t>
            </w:r>
          </w:p>
          <w:p w:rsidR="00CD1637" w:rsidRDefault="00CD1637" w:rsidP="000469EB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Recommendations regarding training program submitted to CGS by March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  <w:p w:rsidR="00CD1637" w:rsidRDefault="00CD1637" w:rsidP="000469EB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program to be started summer 2013</w:t>
            </w:r>
          </w:p>
          <w:p w:rsidR="005C081F" w:rsidRPr="00917FC3" w:rsidRDefault="005C081F" w:rsidP="005C081F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917FC3">
              <w:rPr>
                <w:rFonts w:cstheme="minorHAnsi"/>
                <w:sz w:val="20"/>
                <w:szCs w:val="20"/>
              </w:rPr>
              <w:t>The monitoring program shall be provided to the Hamlet by June 1</w:t>
            </w:r>
            <w:r w:rsidRPr="00917FC3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917FC3">
              <w:rPr>
                <w:rFonts w:cstheme="minorHAnsi"/>
                <w:sz w:val="20"/>
                <w:szCs w:val="20"/>
              </w:rPr>
              <w:t xml:space="preserve">, 2013 </w:t>
            </w:r>
          </w:p>
          <w:p w:rsidR="005C081F" w:rsidRPr="00751B58" w:rsidRDefault="005C081F" w:rsidP="005C081F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recommendations with regards to a new training program for the monitoring program will be made as part of the community visit report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255A34" w:rsidRDefault="00255A34" w:rsidP="00255A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Develop a training plan for a TRAIN THE TRAINER to be delivered in 2013/14 for GN staff </w:t>
            </w:r>
          </w:p>
          <w:p w:rsidR="00255A34" w:rsidRDefault="00255A34" w:rsidP="00255A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reports to be held in a central  data base accessible to GN staff for review and action</w:t>
            </w:r>
          </w:p>
          <w:p w:rsidR="00CD1637" w:rsidRPr="00751B58" w:rsidRDefault="00CD1637" w:rsidP="000469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samples completed in accordance with the water licence and submitted on or before March 2014 for the 2013 season and in the years forward</w:t>
            </w:r>
          </w:p>
        </w:tc>
      </w:tr>
      <w:tr w:rsidR="005C081F" w:rsidTr="002A5EAD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Pr="00751B58" w:rsidRDefault="005C081F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B-5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Pr="00DE7AD9" w:rsidRDefault="005C081F" w:rsidP="00DE7AD9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The Licensee shall, within ninety (90) days after the first visit by the Inspector following</w:t>
            </w:r>
          </w:p>
          <w:p w:rsidR="005C081F" w:rsidRPr="00DE7AD9" w:rsidRDefault="005C081F" w:rsidP="00DE7AD9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issuance of this Licence, post the necessary signs to identify the stations of the</w:t>
            </w:r>
          </w:p>
          <w:p w:rsidR="005C081F" w:rsidRPr="00751B58" w:rsidRDefault="005C081F" w:rsidP="000469EB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“Monitoring Program.” All signage postings shall be in the Official Languages o</w:t>
            </w:r>
            <w:r>
              <w:rPr>
                <w:rFonts w:cstheme="minorHAnsi"/>
                <w:sz w:val="20"/>
                <w:szCs w:val="20"/>
              </w:rPr>
              <w:t xml:space="preserve">f </w:t>
            </w:r>
            <w:r w:rsidRPr="00DE7AD9">
              <w:rPr>
                <w:rFonts w:cstheme="minorHAnsi"/>
                <w:sz w:val="20"/>
                <w:szCs w:val="20"/>
              </w:rPr>
              <w:t>Nunavut.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Pr="00751B58" w:rsidRDefault="005C081F" w:rsidP="000469EB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Pr="00751B58" w:rsidRDefault="005C081F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751B58">
              <w:rPr>
                <w:rFonts w:cstheme="minorHAnsi"/>
                <w:b/>
                <w:sz w:val="20"/>
                <w:szCs w:val="20"/>
              </w:rPr>
              <w:t>xp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1B58">
              <w:rPr>
                <w:rFonts w:cstheme="minorHAnsi"/>
                <w:sz w:val="20"/>
                <w:szCs w:val="20"/>
              </w:rPr>
              <w:t xml:space="preserve">will review </w:t>
            </w:r>
            <w:r>
              <w:rPr>
                <w:rFonts w:cstheme="minorHAnsi"/>
                <w:sz w:val="20"/>
                <w:szCs w:val="20"/>
              </w:rPr>
              <w:t xml:space="preserve">with the NWB to identify </w:t>
            </w:r>
            <w:r w:rsidRPr="00751B58">
              <w:rPr>
                <w:rFonts w:cstheme="minorHAnsi"/>
                <w:sz w:val="20"/>
                <w:szCs w:val="20"/>
              </w:rPr>
              <w:t>the existing</w:t>
            </w:r>
            <w:r>
              <w:rPr>
                <w:rFonts w:cstheme="minorHAnsi"/>
                <w:sz w:val="20"/>
                <w:szCs w:val="20"/>
              </w:rPr>
              <w:t xml:space="preserve"> outstanding items and submissions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Default="005C081F" w:rsidP="000469E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Community site visit</w:t>
            </w:r>
            <w:r>
              <w:rPr>
                <w:rFonts w:cstheme="minorHAnsi"/>
                <w:sz w:val="20"/>
                <w:szCs w:val="20"/>
              </w:rPr>
              <w:t xml:space="preserve"> will</w:t>
            </w:r>
            <w:r w:rsidRPr="00751B58">
              <w:rPr>
                <w:rFonts w:cstheme="minorHAnsi"/>
                <w:sz w:val="20"/>
                <w:szCs w:val="20"/>
              </w:rPr>
              <w:t xml:space="preserve"> report</w:t>
            </w:r>
            <w:r>
              <w:rPr>
                <w:rFonts w:cstheme="minorHAnsi"/>
                <w:sz w:val="20"/>
                <w:szCs w:val="20"/>
              </w:rPr>
              <w:t xml:space="preserve"> status of outstanding reports, and </w:t>
            </w:r>
            <w:r w:rsidRPr="00751B58">
              <w:rPr>
                <w:rFonts w:cstheme="minorHAnsi"/>
                <w:sz w:val="20"/>
                <w:szCs w:val="20"/>
              </w:rPr>
              <w:t xml:space="preserve"> will be issued by </w:t>
            </w:r>
            <w:r>
              <w:rPr>
                <w:rFonts w:cstheme="minorHAnsi"/>
                <w:sz w:val="20"/>
                <w:szCs w:val="20"/>
              </w:rPr>
              <w:t>March 31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5C081F" w:rsidRPr="00751B58" w:rsidRDefault="005C081F" w:rsidP="000469E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available reports</w:t>
            </w:r>
            <w:r w:rsidRPr="00751B58">
              <w:rPr>
                <w:rFonts w:cstheme="minorHAnsi"/>
                <w:sz w:val="20"/>
                <w:szCs w:val="20"/>
              </w:rPr>
              <w:t xml:space="preserve"> studies, </w:t>
            </w:r>
            <w:r>
              <w:rPr>
                <w:rFonts w:cstheme="minorHAnsi"/>
                <w:sz w:val="20"/>
                <w:szCs w:val="20"/>
              </w:rPr>
              <w:t>or plans to be submitted prior to June 1</w:t>
            </w:r>
            <w:r w:rsidRPr="00F44763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 2013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Pr="00751B58" w:rsidRDefault="005C081F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CGS will request additional funding to ensure communities have the resources to complete reports and studies in both languages.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C081F" w:rsidRPr="00751B58" w:rsidRDefault="005C081F" w:rsidP="000469E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Hamlet of Taloyoak will </w:t>
            </w:r>
            <w:r w:rsidR="001C7203">
              <w:rPr>
                <w:rFonts w:cstheme="minorHAnsi"/>
                <w:sz w:val="20"/>
                <w:szCs w:val="20"/>
              </w:rPr>
              <w:t xml:space="preserve">have </w:t>
            </w:r>
            <w:r>
              <w:rPr>
                <w:rFonts w:cstheme="minorHAnsi"/>
                <w:sz w:val="20"/>
                <w:szCs w:val="20"/>
              </w:rPr>
              <w:t>all outstanding paperwork translated before March</w:t>
            </w:r>
            <w:r w:rsidR="000469EB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31</w:t>
            </w:r>
            <w:r w:rsidRPr="00355DC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865382">
              <w:rPr>
                <w:rFonts w:cstheme="minorHAnsi"/>
                <w:sz w:val="20"/>
                <w:szCs w:val="20"/>
              </w:rPr>
              <w:t>,</w:t>
            </w:r>
            <w:r w:rsidR="000469EB">
              <w:rPr>
                <w:rFonts w:cstheme="minorHAnsi"/>
                <w:sz w:val="20"/>
                <w:szCs w:val="20"/>
              </w:rPr>
              <w:t> 2014</w:t>
            </w:r>
            <w:r w:rsidRPr="00751B58">
              <w:rPr>
                <w:rFonts w:cstheme="minorHAnsi"/>
                <w:sz w:val="20"/>
                <w:szCs w:val="20"/>
              </w:rPr>
              <w:t xml:space="preserve">.  </w:t>
            </w:r>
          </w:p>
          <w:p w:rsidR="005C081F" w:rsidRPr="00751B58" w:rsidRDefault="005C081F" w:rsidP="000469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637" w:rsidTr="002A5EAD"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B-8</w:t>
            </w:r>
          </w:p>
        </w:tc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F840B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The Licensee shall submit one paper copy and one electronic copy of all reports, studies, and plans to the Board. Reports or studies </w:t>
            </w:r>
            <w:r w:rsidRPr="00751B58">
              <w:rPr>
                <w:rFonts w:cstheme="minorHAnsi"/>
                <w:sz w:val="20"/>
                <w:szCs w:val="20"/>
              </w:rPr>
              <w:lastRenderedPageBreak/>
              <w:t>submitted to the Board by the Licensee shall include a detailed executive summary in Inuktitut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F840B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lastRenderedPageBreak/>
              <w:t>Non compliance</w:t>
            </w: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F840B6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As part of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>’s community visit they will review the existing</w:t>
            </w:r>
            <w:r>
              <w:rPr>
                <w:rFonts w:cstheme="minorHAnsi"/>
                <w:sz w:val="20"/>
                <w:szCs w:val="20"/>
              </w:rPr>
              <w:t xml:space="preserve"> outstanding items and </w:t>
            </w:r>
            <w:r>
              <w:rPr>
                <w:rFonts w:cstheme="minorHAnsi"/>
                <w:sz w:val="20"/>
                <w:szCs w:val="20"/>
              </w:rPr>
              <w:lastRenderedPageBreak/>
              <w:t>submissions to the NWB that require translations.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0469EB">
            <w:pPr>
              <w:pStyle w:val="ListParagraph"/>
              <w:ind w:left="14" w:hanging="14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lastRenderedPageBreak/>
              <w:t>Community site visit report will be reissued by February 28th, 2013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CD1637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CGS will request additional funding to ensure communities have the resources to complete </w:t>
            </w:r>
            <w:r>
              <w:rPr>
                <w:rFonts w:cstheme="minorHAnsi"/>
                <w:sz w:val="20"/>
                <w:szCs w:val="20"/>
              </w:rPr>
              <w:lastRenderedPageBreak/>
              <w:t>reports and studies in both languages.</w:t>
            </w: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</w:tcPr>
          <w:p w:rsidR="00CD1637" w:rsidRPr="00751B58" w:rsidRDefault="008B0BC8" w:rsidP="001C720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The Hamlet of Taloyoak </w:t>
            </w:r>
            <w:r w:rsidR="00CD1637">
              <w:rPr>
                <w:rFonts w:cstheme="minorHAnsi"/>
                <w:sz w:val="20"/>
                <w:szCs w:val="20"/>
              </w:rPr>
              <w:t>will have these translated before March 31</w:t>
            </w:r>
            <w:r w:rsidR="00CD1637" w:rsidRPr="00355DC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865382">
              <w:rPr>
                <w:rFonts w:cstheme="minorHAnsi"/>
                <w:sz w:val="20"/>
                <w:szCs w:val="20"/>
              </w:rPr>
              <w:t>,</w:t>
            </w:r>
            <w:r w:rsidR="00CD1637">
              <w:rPr>
                <w:rFonts w:cstheme="minorHAnsi"/>
                <w:sz w:val="20"/>
                <w:szCs w:val="20"/>
              </w:rPr>
              <w:t xml:space="preserve"> 2014</w:t>
            </w:r>
            <w:r w:rsidR="00CD1637" w:rsidRPr="00751B58">
              <w:rPr>
                <w:rFonts w:cstheme="minorHAnsi"/>
                <w:sz w:val="20"/>
                <w:szCs w:val="20"/>
              </w:rPr>
              <w:t xml:space="preserve">.  </w:t>
            </w:r>
          </w:p>
          <w:p w:rsidR="00CD1637" w:rsidRPr="00751B58" w:rsidRDefault="00CD1637" w:rsidP="00F840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203" w:rsidTr="002A5EAD">
        <w:tc>
          <w:tcPr>
            <w:tcW w:w="4860" w:type="dxa"/>
            <w:gridSpan w:val="2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1C7203" w:rsidRPr="00751B58" w:rsidRDefault="001C7203" w:rsidP="001C7203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lastRenderedPageBreak/>
              <w:t>Licence Condition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1C7203" w:rsidRPr="00751B58" w:rsidRDefault="001C7203" w:rsidP="001C7203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1C7203" w:rsidRPr="00751B58" w:rsidRDefault="001C7203" w:rsidP="001C7203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69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1C7203" w:rsidRPr="00751B58" w:rsidRDefault="001C7203" w:rsidP="001C7203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Short Term Plan for Compliance </w:t>
            </w:r>
          </w:p>
          <w:p w:rsidR="001C7203" w:rsidRPr="00751B58" w:rsidRDefault="001C7203" w:rsidP="001C7203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1C7203" w:rsidRPr="00751B58" w:rsidRDefault="001C7203" w:rsidP="001C7203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70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1C7203" w:rsidRPr="00751B58" w:rsidRDefault="001C7203" w:rsidP="001C7203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Long Term Plan for Compliance </w:t>
            </w:r>
          </w:p>
          <w:p w:rsidR="001C7203" w:rsidRPr="00751B58" w:rsidRDefault="001C7203" w:rsidP="001C72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</w:tr>
      <w:tr w:rsidR="001C7203" w:rsidTr="002A5EAD"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B-10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1C7203" w:rsidRPr="00DE7AD9" w:rsidRDefault="001C7203" w:rsidP="00DE7AD9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The Licensee shall submit to the Board for approval, within ninety (90) days of Licence</w:t>
            </w:r>
          </w:p>
          <w:p w:rsidR="001C7203" w:rsidRPr="00DE7AD9" w:rsidRDefault="001C7203" w:rsidP="00DE7AD9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issuance or upon the filing of any application in relation to the Licence within that time, a</w:t>
            </w:r>
          </w:p>
          <w:p w:rsidR="001C7203" w:rsidRPr="00DE7AD9" w:rsidRDefault="001C7203" w:rsidP="00DE7AD9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Plan for Compliance that clearly demonstrates the measures the Licensee will undertake,</w:t>
            </w:r>
          </w:p>
          <w:p w:rsidR="001C7203" w:rsidRPr="00DE7AD9" w:rsidRDefault="001C7203" w:rsidP="00DE7AD9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including an implementation schedule, to achieve full compliance with the conditions of</w:t>
            </w:r>
          </w:p>
          <w:p w:rsidR="001C7203" w:rsidRPr="00751B58" w:rsidRDefault="001C7203" w:rsidP="001C7203">
            <w:pPr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sz w:val="20"/>
                <w:szCs w:val="20"/>
              </w:rPr>
              <w:t>this Licence, including the approval of the waste water and solid waste disposal facilities.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:rsidR="001C7203" w:rsidRPr="00751B58" w:rsidRDefault="001C7203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Non-compliance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:rsidR="001C7203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CGS has retained the services of </w:t>
            </w:r>
            <w:r>
              <w:rPr>
                <w:rFonts w:cstheme="minorHAnsi"/>
                <w:b/>
                <w:sz w:val="20"/>
                <w:szCs w:val="20"/>
              </w:rPr>
              <w:t>exp</w:t>
            </w:r>
            <w:r>
              <w:rPr>
                <w:rFonts w:cstheme="minorHAnsi"/>
                <w:sz w:val="20"/>
                <w:szCs w:val="20"/>
              </w:rPr>
              <w:t xml:space="preserve"> to assist with the preparation of a compliance plan.</w:t>
            </w:r>
          </w:p>
          <w:p w:rsidR="001C7203" w:rsidRPr="00F45951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Draft Compliance Plan will be reviewed with AANDC during preparation</w:t>
            </w:r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</w:tcPr>
          <w:p w:rsidR="001C7203" w:rsidRPr="00F45951" w:rsidRDefault="001C7203" w:rsidP="00F840B6">
            <w:pPr>
              <w:rPr>
                <w:rFonts w:cstheme="minorHAnsi"/>
                <w:sz w:val="20"/>
                <w:szCs w:val="20"/>
              </w:rPr>
            </w:pPr>
            <w:r w:rsidRPr="00F45951">
              <w:rPr>
                <w:rFonts w:cstheme="minorHAnsi"/>
                <w:sz w:val="20"/>
                <w:szCs w:val="20"/>
              </w:rPr>
              <w:t xml:space="preserve">Compliance plan will be submitted prior to </w:t>
            </w:r>
            <w:r>
              <w:rPr>
                <w:rFonts w:cstheme="minorHAnsi"/>
                <w:sz w:val="20"/>
                <w:szCs w:val="20"/>
              </w:rPr>
              <w:t>November 2</w:t>
            </w:r>
            <w:r w:rsidRPr="00F45951">
              <w:rPr>
                <w:rFonts w:cstheme="minorHAnsi"/>
                <w:sz w:val="20"/>
                <w:szCs w:val="20"/>
              </w:rPr>
              <w:t>, 2012.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:rsidR="001C7203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review of need for preparation of a new Compliance Plan.</w:t>
            </w:r>
          </w:p>
          <w:p w:rsidR="001C7203" w:rsidRPr="00F45951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Compliance Plans as required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1C7203" w:rsidRPr="00751B58" w:rsidRDefault="001C7203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or before March 31</w:t>
            </w:r>
            <w:r w:rsidRPr="008A33F7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of each year.</w:t>
            </w:r>
          </w:p>
        </w:tc>
      </w:tr>
      <w:tr w:rsidR="001C7203" w:rsidTr="002A5EAD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5A7054" w:rsidRDefault="001C7203" w:rsidP="005A7054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5A7054">
              <w:rPr>
                <w:rFonts w:cstheme="minorHAnsi"/>
                <w:sz w:val="20"/>
                <w:szCs w:val="20"/>
                <w:u w:val="single"/>
              </w:rPr>
              <w:t>Part 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5A7054" w:rsidRDefault="001C7203" w:rsidP="005A7054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5A7054">
              <w:rPr>
                <w:rFonts w:cstheme="minorHAnsi"/>
                <w:sz w:val="20"/>
                <w:szCs w:val="20"/>
                <w:u w:val="single"/>
              </w:rPr>
              <w:t>Conditions Applying To Modification And Construction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751B58" w:rsidRDefault="001C7203" w:rsidP="00F171C0">
            <w:pPr>
              <w:pStyle w:val="ListParagraph"/>
              <w:ind w:left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203" w:rsidTr="002A5EAD"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Default="001C72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E-3</w:t>
            </w:r>
          </w:p>
        </w:tc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Pr="005A7054" w:rsidRDefault="001C7203" w:rsidP="005A7054">
            <w:pPr>
              <w:rPr>
                <w:rFonts w:cstheme="minorHAnsi"/>
                <w:sz w:val="20"/>
                <w:szCs w:val="20"/>
              </w:rPr>
            </w:pPr>
            <w:r w:rsidRPr="005A7054">
              <w:rPr>
                <w:rFonts w:cstheme="minorHAnsi"/>
                <w:sz w:val="20"/>
                <w:szCs w:val="20"/>
              </w:rPr>
              <w:t>Modifications for which all of the conditions referred to in Part E, Item 2, have not been</w:t>
            </w:r>
          </w:p>
          <w:p w:rsidR="001C7203" w:rsidRPr="005A7054" w:rsidRDefault="001C7203" w:rsidP="005A7054">
            <w:pPr>
              <w:rPr>
                <w:rFonts w:cstheme="minorHAnsi"/>
                <w:sz w:val="20"/>
                <w:szCs w:val="20"/>
              </w:rPr>
            </w:pPr>
            <w:r w:rsidRPr="005A7054">
              <w:rPr>
                <w:rFonts w:cstheme="minorHAnsi"/>
                <w:sz w:val="20"/>
                <w:szCs w:val="20"/>
              </w:rPr>
              <w:t>met may be carried out only with written approval from the Board. The Licensee shall</w:t>
            </w:r>
          </w:p>
          <w:p w:rsidR="001C7203" w:rsidRPr="005A7054" w:rsidRDefault="001C7203" w:rsidP="005A7054">
            <w:pPr>
              <w:rPr>
                <w:rFonts w:cstheme="minorHAnsi"/>
                <w:sz w:val="20"/>
                <w:szCs w:val="20"/>
              </w:rPr>
            </w:pPr>
            <w:r w:rsidRPr="005A7054">
              <w:rPr>
                <w:rFonts w:cstheme="minorHAnsi"/>
                <w:sz w:val="20"/>
                <w:szCs w:val="20"/>
              </w:rPr>
              <w:t>provide as-built plans and drawings of the Modifications referred to in this Licence</w:t>
            </w:r>
          </w:p>
          <w:p w:rsidR="001C7203" w:rsidRPr="005A7054" w:rsidRDefault="001C7203" w:rsidP="005A7054">
            <w:pPr>
              <w:rPr>
                <w:rFonts w:cstheme="minorHAnsi"/>
                <w:sz w:val="20"/>
                <w:szCs w:val="20"/>
              </w:rPr>
            </w:pPr>
            <w:r w:rsidRPr="005A7054">
              <w:rPr>
                <w:rFonts w:cstheme="minorHAnsi"/>
                <w:sz w:val="20"/>
                <w:szCs w:val="20"/>
              </w:rPr>
              <w:t>within ninety (90) days of completion of the Modification. These plans and drawings</w:t>
            </w:r>
          </w:p>
          <w:p w:rsidR="001C7203" w:rsidRPr="00DE7AD9" w:rsidRDefault="001C7203" w:rsidP="001C7203">
            <w:pPr>
              <w:rPr>
                <w:rFonts w:cstheme="minorHAnsi"/>
                <w:sz w:val="20"/>
                <w:szCs w:val="20"/>
              </w:rPr>
            </w:pPr>
            <w:r w:rsidRPr="005A7054">
              <w:rPr>
                <w:rFonts w:cstheme="minorHAnsi"/>
                <w:sz w:val="20"/>
                <w:szCs w:val="20"/>
              </w:rPr>
              <w:t>shall be stamped by an Engineer.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Pr="005A7054" w:rsidRDefault="001C7203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Non-compliance: Failure to </w:t>
            </w:r>
            <w:r w:rsidRPr="005A7054">
              <w:rPr>
                <w:rFonts w:cstheme="minorHAnsi"/>
                <w:sz w:val="20"/>
                <w:szCs w:val="20"/>
              </w:rPr>
              <w:t>provide as-built plans and drawings of the Modifications referred to in this Licence</w:t>
            </w:r>
          </w:p>
          <w:p w:rsidR="001C7203" w:rsidRPr="00751B58" w:rsidRDefault="001C7203" w:rsidP="00F840B6">
            <w:pPr>
              <w:rPr>
                <w:rFonts w:cstheme="minorHAnsi"/>
                <w:sz w:val="20"/>
                <w:szCs w:val="20"/>
              </w:rPr>
            </w:pPr>
            <w:r w:rsidRPr="005A7054">
              <w:rPr>
                <w:rFonts w:cstheme="minorHAnsi"/>
                <w:sz w:val="20"/>
                <w:szCs w:val="20"/>
              </w:rPr>
              <w:t xml:space="preserve">within ninety </w:t>
            </w:r>
            <w:r>
              <w:rPr>
                <w:rFonts w:cstheme="minorHAnsi"/>
                <w:sz w:val="20"/>
                <w:szCs w:val="20"/>
              </w:rPr>
              <w:t>(90) days of completion of the m</w:t>
            </w:r>
            <w:r w:rsidRPr="005A7054">
              <w:rPr>
                <w:rFonts w:cstheme="minorHAnsi"/>
                <w:sz w:val="20"/>
                <w:szCs w:val="20"/>
              </w:rPr>
              <w:t>odification</w:t>
            </w: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Status of work to be confirmed as part of the exp site visit.</w:t>
            </w:r>
          </w:p>
          <w:p w:rsidR="001C7203" w:rsidRPr="00F840B6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Status of required As-Built drawings to be determined 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on status of modifications prior to March 15, 2013.</w:t>
            </w:r>
          </w:p>
          <w:p w:rsidR="001C7203" w:rsidRPr="00751B58" w:rsidRDefault="001C7203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CGS to forward As-built drawing if available prior to March 15, 2013.  IF not available the Designer shall be retained to complete the documents as require prior to September 30, 2014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</w:tcPr>
          <w:p w:rsidR="001C7203" w:rsidRPr="00751B58" w:rsidRDefault="001C72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B0BC8" w:rsidRDefault="008B0BC8">
      <w:r>
        <w:br w:type="page"/>
      </w:r>
    </w:p>
    <w:tbl>
      <w:tblPr>
        <w:tblStyle w:val="TableGrid"/>
        <w:tblW w:w="1953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40"/>
        <w:gridCol w:w="2160"/>
        <w:gridCol w:w="3060"/>
        <w:gridCol w:w="3690"/>
        <w:gridCol w:w="2880"/>
        <w:gridCol w:w="2700"/>
      </w:tblGrid>
      <w:tr w:rsidR="008B0BC8" w:rsidRPr="00746AA5" w:rsidTr="002A5EAD">
        <w:tc>
          <w:tcPr>
            <w:tcW w:w="504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751B58" w:rsidRDefault="008B0BC8" w:rsidP="00980B2A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751B58" w:rsidRDefault="008B0BC8" w:rsidP="00980B2A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751B58" w:rsidRDefault="008B0BC8" w:rsidP="00980B2A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751B58" w:rsidRDefault="008B0BC8" w:rsidP="00980B2A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Short Term Plan for Compliance </w:t>
            </w:r>
          </w:p>
          <w:p w:rsidR="008B0BC8" w:rsidRPr="00751B58" w:rsidRDefault="008B0BC8" w:rsidP="00980B2A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751B58" w:rsidRDefault="008B0BC8" w:rsidP="00980B2A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751B58" w:rsidRDefault="008B0BC8" w:rsidP="00980B2A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Long Term Plan for Compliance </w:t>
            </w:r>
          </w:p>
          <w:p w:rsidR="008B0BC8" w:rsidRPr="00751B58" w:rsidRDefault="008B0BC8" w:rsidP="00980B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</w:tr>
      <w:tr w:rsidR="008B0BC8" w:rsidRPr="00746AA5" w:rsidTr="002A5EAD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B5449C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B5449C">
              <w:rPr>
                <w:rFonts w:cstheme="minorHAnsi"/>
                <w:sz w:val="20"/>
                <w:szCs w:val="20"/>
                <w:u w:val="single"/>
              </w:rPr>
              <w:t>Part F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Conditions Applying To Operation And Maintenance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BC8" w:rsidRPr="00746AA5" w:rsidTr="002A5EAD">
        <w:tc>
          <w:tcPr>
            <w:tcW w:w="900" w:type="dxa"/>
            <w:tcBorders>
              <w:top w:val="single" w:sz="4" w:space="0" w:color="auto"/>
            </w:tcBorders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F-1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B0BC8" w:rsidRPr="00B5449C" w:rsidRDefault="008B0BC8" w:rsidP="00B5449C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The Licensee shall submit to the Board for approval, within ninety (90) days of issuance</w:t>
            </w:r>
          </w:p>
          <w:p w:rsidR="008B0BC8" w:rsidRPr="00751B58" w:rsidRDefault="008B0BC8" w:rsidP="001C720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of the Licence, an Operations and Maintenance Manual prepared where appropriate, in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accordance with the “Guidelines for the Preparation of an Operation and Maintenance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Manual for Sewage and Solid Waste Disposal Facilities in the Northwest Territories;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1996”. The Manual shall take into consideration the comments received during the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application review process and shall contain a Spill Contingency Plan in the format set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out by the Consolidation of Spill Contingency Planning and Reporting Regulations R-068-9. The Spill Contingency Plan shall be appended to the Operation and Maintenance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Manual.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0BC8" w:rsidRPr="00751B58" w:rsidRDefault="008B0BC8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Non-Compliance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Status of O&amp;M Manual (Sewage) to be reviewed during site visit.  Report subsequent to visit.</w:t>
            </w:r>
          </w:p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O&amp;M Manual (Sewage) as required based on site visit findings.</w:t>
            </w:r>
          </w:p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Status of O&amp;M Manual (Solid Waste) to be reviewed during site visit.  Report subsequent to visit.</w:t>
            </w:r>
          </w:p>
          <w:p w:rsidR="008B0BC8" w:rsidRPr="008A33F7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O&amp;M Manual (Solid Waste) as required based on site visit findings.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status prior to March 15, 2013.</w:t>
            </w:r>
          </w:p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manuals as required and submit draft prior to July 1</w:t>
            </w:r>
            <w:r w:rsidRPr="008A33F7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 2013.</w:t>
            </w:r>
          </w:p>
          <w:p w:rsidR="008B0BC8" w:rsidRPr="008A33F7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Submit final 6 months post licence 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B0BC8" w:rsidRPr="00751B58" w:rsidRDefault="008B0BC8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review of status and need to revise.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B0BC8" w:rsidRPr="008A33F7" w:rsidRDefault="008B0BC8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Amend if required prior to March 31</w:t>
            </w:r>
            <w:r w:rsidRPr="00627C5C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submission of Annual Report.</w:t>
            </w:r>
          </w:p>
        </w:tc>
      </w:tr>
      <w:tr w:rsidR="008B0BC8" w:rsidRPr="00746AA5" w:rsidTr="002A5EAD"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B5449C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B5449C">
              <w:rPr>
                <w:rFonts w:cstheme="minorHAnsi"/>
                <w:sz w:val="20"/>
                <w:szCs w:val="20"/>
                <w:u w:val="single"/>
              </w:rPr>
              <w:t xml:space="preserve">Part </w:t>
            </w:r>
            <w:r>
              <w:rPr>
                <w:rFonts w:cstheme="minorHAnsi"/>
                <w:sz w:val="20"/>
                <w:szCs w:val="20"/>
                <w:u w:val="single"/>
              </w:rPr>
              <w:t>G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Conditions Applying To Operation And Maintenance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B54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BC8" w:rsidRPr="00746AA5" w:rsidTr="002A5EAD">
        <w:tc>
          <w:tcPr>
            <w:tcW w:w="900" w:type="dxa"/>
            <w:tcBorders>
              <w:top w:val="single" w:sz="4" w:space="0" w:color="auto"/>
            </w:tcBorders>
          </w:tcPr>
          <w:p w:rsidR="008B0BC8" w:rsidRPr="00B5449C" w:rsidRDefault="008B0BC8" w:rsidP="00B544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5449C">
              <w:rPr>
                <w:rFonts w:cstheme="minorHAnsi"/>
                <w:sz w:val="20"/>
                <w:szCs w:val="20"/>
              </w:rPr>
              <w:t>G-1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B0BC8" w:rsidRPr="00B5449C" w:rsidRDefault="008B0BC8" w:rsidP="00B5449C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The Licensee shall submit for Board for approval within ninety (90) days of issuance of</w:t>
            </w:r>
          </w:p>
          <w:p w:rsidR="008B0BC8" w:rsidRPr="00B5449C" w:rsidRDefault="008B0BC8" w:rsidP="00B5449C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this Licence an Abandonment and Restoration Plan for the existing water intake facility</w:t>
            </w:r>
          </w:p>
          <w:p w:rsidR="008B0BC8" w:rsidRPr="00B5449C" w:rsidRDefault="008B0BC8" w:rsidP="00A5067A">
            <w:pPr>
              <w:spacing w:after="200"/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 w:rsidRPr="00B5449C">
              <w:rPr>
                <w:rFonts w:cstheme="minorHAnsi"/>
                <w:bCs/>
                <w:color w:val="000000"/>
                <w:sz w:val="20"/>
                <w:szCs w:val="20"/>
              </w:rPr>
              <w:t>that is being decommissioned.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0BC8" w:rsidRPr="00751B58" w:rsidRDefault="008B0BC8" w:rsidP="00F84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Non-Compliance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C26D2C">
              <w:rPr>
                <w:rFonts w:cstheme="minorHAnsi"/>
                <w:sz w:val="20"/>
                <w:szCs w:val="20"/>
              </w:rPr>
              <w:t xml:space="preserve">CGS has retained the services of </w:t>
            </w:r>
            <w:r w:rsidRPr="00C26D2C">
              <w:rPr>
                <w:rFonts w:cstheme="minorHAnsi"/>
                <w:b/>
                <w:sz w:val="20"/>
                <w:szCs w:val="20"/>
              </w:rPr>
              <w:t xml:space="preserve">exp </w:t>
            </w:r>
            <w:r w:rsidRPr="00C26D2C">
              <w:rPr>
                <w:rFonts w:cstheme="minorHAnsi"/>
                <w:sz w:val="20"/>
                <w:szCs w:val="20"/>
              </w:rPr>
              <w:t>to assist with the preparation of A&amp;R Plan.</w:t>
            </w:r>
          </w:p>
          <w:p w:rsidR="008B0BC8" w:rsidRPr="00C26D2C" w:rsidRDefault="008B0BC8" w:rsidP="00CD163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B0BC8" w:rsidRPr="00CD1637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CD1637">
              <w:rPr>
                <w:rFonts w:cstheme="minorHAnsi"/>
                <w:sz w:val="20"/>
                <w:szCs w:val="20"/>
              </w:rPr>
              <w:t xml:space="preserve">Scope of required </w:t>
            </w:r>
            <w:r>
              <w:rPr>
                <w:rFonts w:cstheme="minorHAnsi"/>
                <w:sz w:val="20"/>
                <w:szCs w:val="20"/>
              </w:rPr>
              <w:t>plan assessed during site visit p</w:t>
            </w:r>
            <w:r w:rsidRPr="00CD1637">
              <w:rPr>
                <w:rFonts w:cstheme="minorHAnsi"/>
                <w:sz w:val="20"/>
                <w:szCs w:val="20"/>
              </w:rPr>
              <w:t xml:space="preserve">rior to March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637">
              <w:rPr>
                <w:rFonts w:cstheme="minorHAnsi"/>
                <w:sz w:val="20"/>
                <w:szCs w:val="20"/>
              </w:rPr>
              <w:t>1, 2013.</w:t>
            </w:r>
          </w:p>
          <w:p w:rsidR="008B0BC8" w:rsidRPr="00CD1637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CD1637">
              <w:rPr>
                <w:rFonts w:cstheme="minorHAnsi"/>
                <w:sz w:val="20"/>
                <w:szCs w:val="20"/>
              </w:rPr>
              <w:t>Report on scope of plan</w:t>
            </w:r>
            <w:r>
              <w:rPr>
                <w:rFonts w:cstheme="minorHAnsi"/>
                <w:sz w:val="20"/>
                <w:szCs w:val="20"/>
              </w:rPr>
              <w:t xml:space="preserve"> p</w:t>
            </w:r>
            <w:r w:rsidRPr="00CD1637">
              <w:rPr>
                <w:rFonts w:cstheme="minorHAnsi"/>
                <w:sz w:val="20"/>
                <w:szCs w:val="20"/>
              </w:rPr>
              <w:t xml:space="preserve">rior to </w:t>
            </w:r>
            <w:r>
              <w:rPr>
                <w:rFonts w:cstheme="minorHAnsi"/>
                <w:sz w:val="20"/>
                <w:szCs w:val="20"/>
              </w:rPr>
              <w:t>June 1</w:t>
            </w:r>
            <w:r w:rsidRPr="004E51E4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 </w:t>
            </w:r>
            <w:r w:rsidRPr="00CD1637">
              <w:rPr>
                <w:rFonts w:cstheme="minorHAnsi"/>
                <w:sz w:val="20"/>
                <w:szCs w:val="20"/>
              </w:rPr>
              <w:t xml:space="preserve"> 2013.</w:t>
            </w:r>
          </w:p>
          <w:p w:rsidR="008B0BC8" w:rsidRPr="00A74807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Follow</w:t>
            </w:r>
            <w:r>
              <w:rPr>
                <w:rFonts w:cstheme="minorHAnsi"/>
                <w:sz w:val="20"/>
                <w:szCs w:val="20"/>
              </w:rPr>
              <w:t xml:space="preserve"> up</w:t>
            </w:r>
            <w:r w:rsidRPr="00A74807">
              <w:rPr>
                <w:rFonts w:cstheme="minorHAnsi"/>
                <w:sz w:val="20"/>
                <w:szCs w:val="20"/>
              </w:rPr>
              <w:t xml:space="preserve"> visit to gather technical information</w:t>
            </w:r>
            <w:r>
              <w:rPr>
                <w:rFonts w:cstheme="minorHAnsi"/>
                <w:sz w:val="20"/>
                <w:szCs w:val="20"/>
              </w:rPr>
              <w:t xml:space="preserve"> and indentify all potential sites </w:t>
            </w:r>
            <w:r w:rsidRPr="00A74807">
              <w:rPr>
                <w:rFonts w:cstheme="minorHAnsi"/>
                <w:sz w:val="20"/>
                <w:szCs w:val="20"/>
              </w:rPr>
              <w:t>August 1, 2013.</w:t>
            </w:r>
          </w:p>
          <w:p w:rsidR="008B0BC8" w:rsidRPr="00C26D2C" w:rsidRDefault="008B0BC8" w:rsidP="008B0BC8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on follow-up visit by September 15</w:t>
            </w:r>
            <w:r w:rsidRPr="008B0BC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>, 2013.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review of need for A&amp;R Plans, and revise if required including schedule for preparation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Submit A&amp;R all outstanding Plans</w:t>
            </w:r>
            <w:r>
              <w:rPr>
                <w:rFonts w:cstheme="minorHAnsi"/>
                <w:sz w:val="20"/>
                <w:szCs w:val="20"/>
              </w:rPr>
              <w:t xml:space="preserve"> March 31</w:t>
            </w:r>
            <w:r w:rsidRPr="001C7203">
              <w:rPr>
                <w:rFonts w:cstheme="minorHAnsi"/>
                <w:sz w:val="20"/>
                <w:szCs w:val="20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2015</w:t>
            </w:r>
          </w:p>
          <w:p w:rsidR="008B0BC8" w:rsidRPr="00A74807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Amend if required prior to March 31</w:t>
            </w:r>
            <w:r w:rsidRPr="001C7203">
              <w:rPr>
                <w:rFonts w:cstheme="minorHAnsi"/>
                <w:sz w:val="20"/>
                <w:szCs w:val="20"/>
              </w:rPr>
              <w:t>st</w:t>
            </w:r>
            <w:r w:rsidRPr="00A74807">
              <w:rPr>
                <w:rFonts w:cstheme="minorHAnsi"/>
                <w:sz w:val="20"/>
                <w:szCs w:val="20"/>
              </w:rPr>
              <w:t xml:space="preserve"> submission of Annual Report.</w:t>
            </w:r>
          </w:p>
          <w:p w:rsidR="008B0BC8" w:rsidRPr="00751B58" w:rsidRDefault="008B0BC8" w:rsidP="008B0BC8">
            <w:pPr>
              <w:ind w:left="160"/>
              <w:rPr>
                <w:rFonts w:cstheme="minorHAnsi"/>
                <w:sz w:val="20"/>
                <w:szCs w:val="20"/>
              </w:rPr>
            </w:pPr>
          </w:p>
        </w:tc>
      </w:tr>
    </w:tbl>
    <w:p w:rsidR="008B0BC8" w:rsidRDefault="008B0BC8">
      <w:r>
        <w:br w:type="page"/>
      </w:r>
    </w:p>
    <w:tbl>
      <w:tblPr>
        <w:tblStyle w:val="TableGrid"/>
        <w:tblW w:w="1953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50"/>
        <w:gridCol w:w="2160"/>
        <w:gridCol w:w="3060"/>
        <w:gridCol w:w="3690"/>
        <w:gridCol w:w="2880"/>
        <w:gridCol w:w="2700"/>
      </w:tblGrid>
      <w:tr w:rsidR="008B0BC8" w:rsidRPr="00F171C0" w:rsidTr="002A5EAD">
        <w:tc>
          <w:tcPr>
            <w:tcW w:w="504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F171C0" w:rsidRDefault="008B0BC8" w:rsidP="00AF6EF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F171C0" w:rsidRDefault="008B0BC8" w:rsidP="00AF6EF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F171C0" w:rsidRDefault="008B0BC8" w:rsidP="00AF6EF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F171C0" w:rsidRDefault="008B0BC8" w:rsidP="00AF6EF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Short Term Plan for Compliance 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F171C0" w:rsidRDefault="008B0BC8" w:rsidP="00AF6EF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B0BC8" w:rsidRPr="00F171C0" w:rsidRDefault="008B0BC8" w:rsidP="00AF6EFE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Long Term Plan for Compliance (including funding status where applicable to municipal developments)</w:t>
            </w:r>
          </w:p>
        </w:tc>
      </w:tr>
      <w:tr w:rsidR="008B0BC8" w:rsidRPr="00746AA5" w:rsidTr="002A5EAD"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Part 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E7AD9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Conditions Applying To The Monitoring Program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5A7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BC8" w:rsidRPr="00746AA5" w:rsidTr="002A5EAD">
        <w:tc>
          <w:tcPr>
            <w:tcW w:w="990" w:type="dxa"/>
            <w:tcBorders>
              <w:top w:val="single" w:sz="4" w:space="0" w:color="auto"/>
            </w:tcBorders>
          </w:tcPr>
          <w:p w:rsidR="008B0BC8" w:rsidRPr="00751B58" w:rsidRDefault="008B0BC8" w:rsidP="005A7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H-1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8B0BC8" w:rsidRPr="00E929E6" w:rsidRDefault="008B0BC8" w:rsidP="005A705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929E6">
              <w:rPr>
                <w:rFonts w:cstheme="minorHAnsi"/>
                <w:bCs/>
                <w:color w:val="000000"/>
                <w:sz w:val="20"/>
                <w:szCs w:val="20"/>
              </w:rPr>
              <w:t>The Licensee shall measure and record, in cubic metres, the monthly and annual</w:t>
            </w:r>
          </w:p>
          <w:p w:rsidR="008B0BC8" w:rsidRPr="00751B58" w:rsidRDefault="008B0BC8" w:rsidP="005A7054">
            <w:pPr>
              <w:spacing w:after="20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929E6">
              <w:rPr>
                <w:rFonts w:cstheme="minorHAnsi"/>
                <w:bCs/>
                <w:color w:val="000000"/>
                <w:sz w:val="20"/>
                <w:szCs w:val="20"/>
              </w:rPr>
              <w:t>quantities of water pumped at the Water Supply Facilities, for all purposes.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It is CGS’s intention to </w:t>
            </w:r>
            <w:r>
              <w:rPr>
                <w:rFonts w:cstheme="minorHAnsi"/>
                <w:sz w:val="20"/>
                <w:szCs w:val="20"/>
              </w:rPr>
              <w:t xml:space="preserve">ensure the communities </w:t>
            </w:r>
            <w:r w:rsidRPr="00751B58">
              <w:rPr>
                <w:rFonts w:cstheme="minorHAnsi"/>
                <w:sz w:val="20"/>
                <w:szCs w:val="20"/>
              </w:rPr>
              <w:t>submit the</w:t>
            </w:r>
            <w:r>
              <w:rPr>
                <w:rFonts w:cstheme="minorHAnsi"/>
                <w:sz w:val="20"/>
                <w:szCs w:val="20"/>
              </w:rPr>
              <w:t xml:space="preserve"> Annual Reports </w:t>
            </w:r>
            <w:r w:rsidRPr="00751B58">
              <w:rPr>
                <w:rFonts w:cstheme="minorHAnsi"/>
                <w:sz w:val="20"/>
                <w:szCs w:val="20"/>
              </w:rPr>
              <w:t>with all available information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B0BC8" w:rsidRPr="00751B58" w:rsidRDefault="008B0BC8" w:rsidP="000469EB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The community visit by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 xml:space="preserve"> is intended to be held prior to the end of February 2013 with a subsequent report issued prior to March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B0BC8" w:rsidRPr="00751B58" w:rsidRDefault="008B0BC8" w:rsidP="008B0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have started a water monitoring group that under the support of the Regional Directors use GN staff to support the municipalities and follow their monitoring and submissions of reports due to NWB.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B0BC8" w:rsidRPr="00751B58" w:rsidRDefault="008B0BC8" w:rsidP="008B0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Going forward all Annual Reports submitted to the NWB by March 31</w:t>
            </w:r>
            <w:r w:rsidRPr="006A3763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B0BC8" w:rsidRPr="00746AA5" w:rsidTr="002A5EAD">
        <w:tc>
          <w:tcPr>
            <w:tcW w:w="990" w:type="dxa"/>
            <w:tcBorders>
              <w:top w:val="single" w:sz="4" w:space="0" w:color="auto"/>
            </w:tcBorders>
          </w:tcPr>
          <w:p w:rsidR="008B0BC8" w:rsidRDefault="008B0BC8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H-2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8B0BC8" w:rsidRPr="00E929E6" w:rsidRDefault="008B0BC8" w:rsidP="000469EB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929E6">
              <w:rPr>
                <w:rFonts w:cstheme="minorHAnsi"/>
                <w:bCs/>
                <w:color w:val="000000"/>
                <w:sz w:val="20"/>
                <w:szCs w:val="20"/>
              </w:rPr>
              <w:t>The Licensee shall include all of the data and information required by the “Monitoring</w:t>
            </w:r>
          </w:p>
          <w:p w:rsidR="008B0BC8" w:rsidRPr="00E929E6" w:rsidRDefault="008B0BC8" w:rsidP="008B0BC8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929E6">
              <w:rPr>
                <w:rFonts w:cstheme="minorHAnsi"/>
                <w:bCs/>
                <w:color w:val="000000"/>
                <w:sz w:val="20"/>
                <w:szCs w:val="20"/>
              </w:rPr>
              <w:t>Program” in the Licensee's Annual Report, as required per Part B, Item 1, or as requested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E929E6">
              <w:rPr>
                <w:rFonts w:cstheme="minorHAnsi"/>
                <w:bCs/>
                <w:color w:val="000000"/>
                <w:sz w:val="20"/>
                <w:szCs w:val="20"/>
              </w:rPr>
              <w:t>by an Inspector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0BC8" w:rsidRPr="00FC4AE9" w:rsidRDefault="008B0BC8" w:rsidP="000469E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455A1">
              <w:rPr>
                <w:rFonts w:cstheme="minorHAnsi"/>
                <w:sz w:val="20"/>
                <w:szCs w:val="20"/>
              </w:rPr>
              <w:t>Acknowledged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training program for sampling program</w:t>
            </w:r>
          </w:p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 operational staff</w:t>
            </w:r>
          </w:p>
          <w:p w:rsidR="008B0BC8" w:rsidRPr="00C60D7D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Undertake required sampling and provide reporting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program for sampling program to start summer 2013</w:t>
            </w:r>
          </w:p>
          <w:p w:rsidR="008B0BC8" w:rsidRPr="00C60D7D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Dates as stipulated in license, subsequent to training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Ongoing surveillance of Monitoring Program requirements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on status prior to March 31</w:t>
            </w:r>
            <w:r w:rsidRPr="00C60D7D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 for previous years.</w:t>
            </w:r>
          </w:p>
        </w:tc>
      </w:tr>
      <w:tr w:rsidR="008B0BC8" w:rsidRPr="00746AA5" w:rsidTr="002A5EAD"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A5067A" w:rsidRDefault="008B0BC8" w:rsidP="00A5067A">
            <w:pPr>
              <w:spacing w:before="60" w:after="60"/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Waste Management Activities Remain Unlicensed Within the Community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0BC8" w:rsidRPr="00AA1792" w:rsidTr="002A5EAD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Default="008B0BC8" w:rsidP="00A5067A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Deposit of waste at the site is an unlicensed activity</w:t>
            </w:r>
          </w:p>
          <w:p w:rsidR="008B0BC8" w:rsidRPr="00E929E6" w:rsidRDefault="008B0BC8" w:rsidP="00A5067A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Failure to maintain a Water Licence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Pr="00B71482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an amendment to the current licence to include the deposit of waste from the community.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Pr="00751B58" w:rsidRDefault="008B0BC8" w:rsidP="00954D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all the documentation to the NWB before June 1</w:t>
            </w:r>
            <w:r w:rsidRPr="00B71482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2013 applying for a new water licence including waste management. 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  <w:lang w:val="fr-CA"/>
              </w:rPr>
            </w:pPr>
            <w:r w:rsidRPr="00AA1792">
              <w:rPr>
                <w:rFonts w:cstheme="minorHAnsi"/>
                <w:sz w:val="20"/>
                <w:szCs w:val="20"/>
                <w:lang w:val="fr-CA"/>
              </w:rPr>
              <w:t xml:space="preserve">The active licence expires </w:t>
            </w:r>
            <w:r w:rsidRPr="00AA1792">
              <w:rPr>
                <w:rFonts w:cstheme="minorHAnsi"/>
                <w:sz w:val="20"/>
                <w:szCs w:val="20"/>
              </w:rPr>
              <w:t>September</w:t>
            </w:r>
            <w:r w:rsidRPr="00AA1792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:rsidR="008B0BC8" w:rsidRPr="00AA1792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A1792">
              <w:rPr>
                <w:rFonts w:cstheme="minorHAnsi"/>
                <w:sz w:val="20"/>
                <w:szCs w:val="20"/>
              </w:rPr>
              <w:t>New licence will need t</w:t>
            </w:r>
            <w:r>
              <w:rPr>
                <w:rFonts w:cstheme="minorHAnsi"/>
                <w:sz w:val="20"/>
                <w:szCs w:val="20"/>
              </w:rPr>
              <w:t xml:space="preserve">o be applied for at least 3 months prior to active licence expiring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B0BC8" w:rsidRPr="00AA1792" w:rsidRDefault="008B0BC8" w:rsidP="004E51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all the documentation to the NWB before July 1</w:t>
            </w:r>
            <w:r w:rsidRPr="00B71482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2013 applying for a new water licence </w:t>
            </w:r>
          </w:p>
        </w:tc>
      </w:tr>
      <w:tr w:rsidR="008B0BC8" w:rsidRPr="00746AA5" w:rsidTr="002A5EAD"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A5067A" w:rsidRDefault="008B0BC8" w:rsidP="00A5067A">
            <w:pPr>
              <w:spacing w:before="60" w:after="60"/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Waste:  Solid Waste Management Area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5067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5067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5067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5067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B0BC8" w:rsidRPr="00751B58" w:rsidRDefault="008B0BC8" w:rsidP="00A5067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8B0BC8" w:rsidRPr="00746AA5" w:rsidTr="002A5EAD"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Default="008B0BC8" w:rsidP="00954D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Default="008B0BC8" w:rsidP="00E929E6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Deposit of waste at the site is an unlicensed activity</w:t>
            </w:r>
          </w:p>
          <w:p w:rsidR="008B0BC8" w:rsidRDefault="008B0BC8" w:rsidP="00E929E6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Failure to maintain a Water Licence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</w:t>
            </w: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Pr="00B71482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an amendment to the current licence to include the deposit of waste from the community.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Pr="00751B58" w:rsidRDefault="008B0BC8" w:rsidP="000469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all the documentation to the NWB before June 1</w:t>
            </w:r>
            <w:r w:rsidRPr="00B71482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2013 applying for a new water licence including waste management.  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  <w:lang w:val="fr-CA"/>
              </w:rPr>
            </w:pPr>
            <w:r w:rsidRPr="00AA1792">
              <w:rPr>
                <w:rFonts w:cstheme="minorHAnsi"/>
                <w:sz w:val="20"/>
                <w:szCs w:val="20"/>
                <w:lang w:val="fr-CA"/>
              </w:rPr>
              <w:t xml:space="preserve">The active licence expires </w:t>
            </w:r>
            <w:r w:rsidRPr="00AA1792">
              <w:rPr>
                <w:rFonts w:cstheme="minorHAnsi"/>
                <w:sz w:val="20"/>
                <w:szCs w:val="20"/>
              </w:rPr>
              <w:t>September</w:t>
            </w:r>
            <w:r w:rsidRPr="00AA1792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:rsidR="008B0BC8" w:rsidRPr="00AA1792" w:rsidRDefault="008B0BC8" w:rsidP="001C7203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A1792">
              <w:rPr>
                <w:rFonts w:cstheme="minorHAnsi"/>
                <w:sz w:val="20"/>
                <w:szCs w:val="20"/>
              </w:rPr>
              <w:t>New licence will need t</w:t>
            </w:r>
            <w:r>
              <w:rPr>
                <w:rFonts w:cstheme="minorHAnsi"/>
                <w:sz w:val="20"/>
                <w:szCs w:val="20"/>
              </w:rPr>
              <w:t xml:space="preserve">o be applied for at least 3 months prior to active licence expiring </w:t>
            </w: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</w:tcPr>
          <w:p w:rsidR="008B0BC8" w:rsidRPr="00AA1792" w:rsidRDefault="008B0BC8" w:rsidP="004E51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all the documentation to the NWB before July 1</w:t>
            </w:r>
            <w:r w:rsidRPr="00B71482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2013 applying for a new water licence </w:t>
            </w:r>
          </w:p>
        </w:tc>
      </w:tr>
    </w:tbl>
    <w:p w:rsidR="00330755" w:rsidRDefault="00330755" w:rsidP="00A5067A"/>
    <w:sectPr w:rsidR="00330755" w:rsidSect="002A5EAD">
      <w:headerReference w:type="default" r:id="rId8"/>
      <w:footerReference w:type="default" r:id="rId9"/>
      <w:type w:val="continuous"/>
      <w:pgSz w:w="20160" w:h="12240" w:orient="landscape" w:code="5"/>
      <w:pgMar w:top="1267" w:right="720" w:bottom="806" w:left="720" w:header="54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72" w:rsidRDefault="002E2272" w:rsidP="00746AA5">
      <w:pPr>
        <w:spacing w:after="0" w:line="240" w:lineRule="auto"/>
      </w:pPr>
      <w:r>
        <w:separator/>
      </w:r>
    </w:p>
  </w:endnote>
  <w:endnote w:type="continuationSeparator" w:id="0">
    <w:p w:rsidR="002E2272" w:rsidRDefault="002E2272" w:rsidP="0074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49966"/>
      <w:docPartObj>
        <w:docPartGallery w:val="Page Numbers (Top of Page)"/>
        <w:docPartUnique/>
      </w:docPartObj>
    </w:sdtPr>
    <w:sdtEndPr/>
    <w:sdtContent>
      <w:p w:rsidR="001C7203" w:rsidRPr="000D2FCE" w:rsidRDefault="001C7203" w:rsidP="000D2FCE">
        <w:pPr>
          <w:spacing w:before="200" w:after="0"/>
          <w:jc w:val="right"/>
        </w:pPr>
        <w:r w:rsidRPr="000D2FCE">
          <w:rPr>
            <w:b/>
            <w:sz w:val="14"/>
            <w:szCs w:val="14"/>
          </w:rPr>
          <w:t xml:space="preserve">Page </w:t>
        </w:r>
        <w:r w:rsidR="00AB05BB" w:rsidRPr="000D2FCE">
          <w:rPr>
            <w:b/>
            <w:sz w:val="14"/>
            <w:szCs w:val="14"/>
          </w:rPr>
          <w:fldChar w:fldCharType="begin"/>
        </w:r>
        <w:r w:rsidRPr="000D2FCE">
          <w:rPr>
            <w:b/>
            <w:sz w:val="14"/>
            <w:szCs w:val="14"/>
          </w:rPr>
          <w:instrText xml:space="preserve"> PAGE </w:instrText>
        </w:r>
        <w:r w:rsidR="00AB05BB" w:rsidRPr="000D2FCE">
          <w:rPr>
            <w:b/>
            <w:sz w:val="14"/>
            <w:szCs w:val="14"/>
          </w:rPr>
          <w:fldChar w:fldCharType="separate"/>
        </w:r>
        <w:r w:rsidR="00BC0682">
          <w:rPr>
            <w:b/>
            <w:noProof/>
            <w:sz w:val="14"/>
            <w:szCs w:val="14"/>
          </w:rPr>
          <w:t>1</w:t>
        </w:r>
        <w:r w:rsidR="00AB05BB" w:rsidRPr="000D2FCE">
          <w:rPr>
            <w:b/>
            <w:sz w:val="14"/>
            <w:szCs w:val="14"/>
          </w:rPr>
          <w:fldChar w:fldCharType="end"/>
        </w:r>
        <w:r w:rsidRPr="000D2FCE">
          <w:rPr>
            <w:b/>
            <w:sz w:val="14"/>
            <w:szCs w:val="14"/>
          </w:rPr>
          <w:t xml:space="preserve"> of </w:t>
        </w:r>
        <w:r w:rsidR="00AB05BB" w:rsidRPr="000D2FCE">
          <w:rPr>
            <w:b/>
            <w:sz w:val="14"/>
            <w:szCs w:val="14"/>
          </w:rPr>
          <w:fldChar w:fldCharType="begin"/>
        </w:r>
        <w:r w:rsidRPr="000D2FCE">
          <w:rPr>
            <w:b/>
            <w:sz w:val="14"/>
            <w:szCs w:val="14"/>
          </w:rPr>
          <w:instrText xml:space="preserve"> NUMPAGES  </w:instrText>
        </w:r>
        <w:r w:rsidR="00AB05BB" w:rsidRPr="000D2FCE">
          <w:rPr>
            <w:b/>
            <w:sz w:val="14"/>
            <w:szCs w:val="14"/>
          </w:rPr>
          <w:fldChar w:fldCharType="separate"/>
        </w:r>
        <w:r w:rsidR="00BC0682">
          <w:rPr>
            <w:b/>
            <w:noProof/>
            <w:sz w:val="14"/>
            <w:szCs w:val="14"/>
          </w:rPr>
          <w:t>4</w:t>
        </w:r>
        <w:r w:rsidR="00AB05BB" w:rsidRPr="000D2FCE">
          <w:rPr>
            <w:b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72" w:rsidRDefault="002E2272" w:rsidP="00746AA5">
      <w:pPr>
        <w:spacing w:after="0" w:line="240" w:lineRule="auto"/>
      </w:pPr>
      <w:r>
        <w:separator/>
      </w:r>
    </w:p>
  </w:footnote>
  <w:footnote w:type="continuationSeparator" w:id="0">
    <w:p w:rsidR="002E2272" w:rsidRDefault="002E2272" w:rsidP="0074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03" w:rsidRPr="00C40CE1" w:rsidRDefault="001C7203" w:rsidP="00746AA5">
    <w:pPr>
      <w:pStyle w:val="Header"/>
      <w:jc w:val="center"/>
      <w:rPr>
        <w:b/>
        <w:sz w:val="24"/>
        <w:szCs w:val="24"/>
      </w:rPr>
    </w:pPr>
    <w:r w:rsidRPr="00C40CE1">
      <w:rPr>
        <w:b/>
        <w:sz w:val="24"/>
        <w:szCs w:val="24"/>
      </w:rPr>
      <w:t>PLAN FOR COMPLIANCE LICENCE NO. 3BM-</w:t>
    </w:r>
    <w:r>
      <w:rPr>
        <w:b/>
        <w:sz w:val="24"/>
        <w:szCs w:val="24"/>
      </w:rPr>
      <w:t>TAL</w:t>
    </w:r>
    <w:r w:rsidRPr="00C40CE1">
      <w:rPr>
        <w:b/>
        <w:sz w:val="24"/>
        <w:szCs w:val="24"/>
      </w:rPr>
      <w:t>0</w:t>
    </w:r>
    <w:r>
      <w:rPr>
        <w:b/>
        <w:sz w:val="24"/>
        <w:szCs w:val="24"/>
      </w:rPr>
      <w:t xml:space="preserve">813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6C2"/>
    <w:multiLevelType w:val="hybridMultilevel"/>
    <w:tmpl w:val="F1841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C13BE7"/>
    <w:multiLevelType w:val="hybridMultilevel"/>
    <w:tmpl w:val="87B0E5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6E117C"/>
    <w:multiLevelType w:val="hybridMultilevel"/>
    <w:tmpl w:val="BB1820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8A4311"/>
    <w:multiLevelType w:val="hybridMultilevel"/>
    <w:tmpl w:val="356CD8EC"/>
    <w:lvl w:ilvl="0" w:tplc="AB9AD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053DC"/>
    <w:multiLevelType w:val="hybridMultilevel"/>
    <w:tmpl w:val="FD741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EA5470"/>
    <w:multiLevelType w:val="hybridMultilevel"/>
    <w:tmpl w:val="0DF60F76"/>
    <w:lvl w:ilvl="0" w:tplc="7E88CD8C">
      <w:start w:val="1"/>
      <w:numFmt w:val="lowerRoman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413"/>
    <w:multiLevelType w:val="hybridMultilevel"/>
    <w:tmpl w:val="6D549F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397A47"/>
    <w:multiLevelType w:val="hybridMultilevel"/>
    <w:tmpl w:val="965E28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380B42"/>
    <w:multiLevelType w:val="hybridMultilevel"/>
    <w:tmpl w:val="486CE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15FB8"/>
    <w:multiLevelType w:val="hybridMultilevel"/>
    <w:tmpl w:val="A44EE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E258A"/>
    <w:multiLevelType w:val="hybridMultilevel"/>
    <w:tmpl w:val="B71E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04460"/>
    <w:multiLevelType w:val="hybridMultilevel"/>
    <w:tmpl w:val="C21A054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251B63"/>
    <w:multiLevelType w:val="hybridMultilevel"/>
    <w:tmpl w:val="CF50A7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CE5FFC"/>
    <w:multiLevelType w:val="hybridMultilevel"/>
    <w:tmpl w:val="C2829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13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30"/>
    <w:rsid w:val="000048E3"/>
    <w:rsid w:val="00010F55"/>
    <w:rsid w:val="00011A1D"/>
    <w:rsid w:val="000130C6"/>
    <w:rsid w:val="00014E55"/>
    <w:rsid w:val="00024864"/>
    <w:rsid w:val="00027AA8"/>
    <w:rsid w:val="000321BB"/>
    <w:rsid w:val="00033AEF"/>
    <w:rsid w:val="00037282"/>
    <w:rsid w:val="00037B08"/>
    <w:rsid w:val="000407A7"/>
    <w:rsid w:val="00042A5B"/>
    <w:rsid w:val="00043884"/>
    <w:rsid w:val="00043AA3"/>
    <w:rsid w:val="00045183"/>
    <w:rsid w:val="00045F10"/>
    <w:rsid w:val="00046854"/>
    <w:rsid w:val="000469EB"/>
    <w:rsid w:val="000543BB"/>
    <w:rsid w:val="000548FF"/>
    <w:rsid w:val="00055F57"/>
    <w:rsid w:val="00057C0F"/>
    <w:rsid w:val="00062302"/>
    <w:rsid w:val="00062879"/>
    <w:rsid w:val="00063D2C"/>
    <w:rsid w:val="000659F6"/>
    <w:rsid w:val="000664D6"/>
    <w:rsid w:val="000747D6"/>
    <w:rsid w:val="000914F7"/>
    <w:rsid w:val="00094778"/>
    <w:rsid w:val="000962F3"/>
    <w:rsid w:val="00096791"/>
    <w:rsid w:val="000A34EC"/>
    <w:rsid w:val="000A7B1A"/>
    <w:rsid w:val="000B1170"/>
    <w:rsid w:val="000B2DD7"/>
    <w:rsid w:val="000C1320"/>
    <w:rsid w:val="000C221A"/>
    <w:rsid w:val="000C382E"/>
    <w:rsid w:val="000C4147"/>
    <w:rsid w:val="000C6F01"/>
    <w:rsid w:val="000D2FCE"/>
    <w:rsid w:val="000E2B42"/>
    <w:rsid w:val="000E369C"/>
    <w:rsid w:val="000E37DF"/>
    <w:rsid w:val="000E6FAB"/>
    <w:rsid w:val="000F52B3"/>
    <w:rsid w:val="0010225C"/>
    <w:rsid w:val="001073F9"/>
    <w:rsid w:val="00113E1F"/>
    <w:rsid w:val="00117C2F"/>
    <w:rsid w:val="001210D7"/>
    <w:rsid w:val="00125128"/>
    <w:rsid w:val="001258FA"/>
    <w:rsid w:val="00125D72"/>
    <w:rsid w:val="0012631E"/>
    <w:rsid w:val="00130F50"/>
    <w:rsid w:val="00135BCB"/>
    <w:rsid w:val="00136D42"/>
    <w:rsid w:val="00137CFF"/>
    <w:rsid w:val="0014519C"/>
    <w:rsid w:val="00146A84"/>
    <w:rsid w:val="00152F0B"/>
    <w:rsid w:val="00156770"/>
    <w:rsid w:val="00172891"/>
    <w:rsid w:val="00184857"/>
    <w:rsid w:val="001851E9"/>
    <w:rsid w:val="00192895"/>
    <w:rsid w:val="001960F1"/>
    <w:rsid w:val="001B591C"/>
    <w:rsid w:val="001C5DC7"/>
    <w:rsid w:val="001C5DE6"/>
    <w:rsid w:val="001C6A5C"/>
    <w:rsid w:val="001C6B44"/>
    <w:rsid w:val="001C7203"/>
    <w:rsid w:val="001D1F92"/>
    <w:rsid w:val="001D27CF"/>
    <w:rsid w:val="001D7DE7"/>
    <w:rsid w:val="001E30DA"/>
    <w:rsid w:val="001E41BD"/>
    <w:rsid w:val="001E49A5"/>
    <w:rsid w:val="001E4A06"/>
    <w:rsid w:val="002007B4"/>
    <w:rsid w:val="002023A0"/>
    <w:rsid w:val="00203151"/>
    <w:rsid w:val="00206F81"/>
    <w:rsid w:val="00211974"/>
    <w:rsid w:val="0021221A"/>
    <w:rsid w:val="00217911"/>
    <w:rsid w:val="00220D47"/>
    <w:rsid w:val="002228BF"/>
    <w:rsid w:val="002269E1"/>
    <w:rsid w:val="00233BFF"/>
    <w:rsid w:val="00233E68"/>
    <w:rsid w:val="002342A8"/>
    <w:rsid w:val="0023668F"/>
    <w:rsid w:val="00241886"/>
    <w:rsid w:val="002455A1"/>
    <w:rsid w:val="00246BEB"/>
    <w:rsid w:val="002470FF"/>
    <w:rsid w:val="00254011"/>
    <w:rsid w:val="00255A34"/>
    <w:rsid w:val="00256B7C"/>
    <w:rsid w:val="00261180"/>
    <w:rsid w:val="002652AF"/>
    <w:rsid w:val="00271380"/>
    <w:rsid w:val="002720B3"/>
    <w:rsid w:val="002736C2"/>
    <w:rsid w:val="00275915"/>
    <w:rsid w:val="0027675C"/>
    <w:rsid w:val="00277412"/>
    <w:rsid w:val="0028281C"/>
    <w:rsid w:val="002839E7"/>
    <w:rsid w:val="00285F92"/>
    <w:rsid w:val="00287E58"/>
    <w:rsid w:val="002915D3"/>
    <w:rsid w:val="00291D79"/>
    <w:rsid w:val="00293C45"/>
    <w:rsid w:val="00295217"/>
    <w:rsid w:val="002A5AC5"/>
    <w:rsid w:val="002A5EAD"/>
    <w:rsid w:val="002B1A31"/>
    <w:rsid w:val="002B6A54"/>
    <w:rsid w:val="002D0504"/>
    <w:rsid w:val="002D0FCA"/>
    <w:rsid w:val="002D43C4"/>
    <w:rsid w:val="002D4A77"/>
    <w:rsid w:val="002E2272"/>
    <w:rsid w:val="002E2401"/>
    <w:rsid w:val="002F7CA5"/>
    <w:rsid w:val="0030222C"/>
    <w:rsid w:val="00302749"/>
    <w:rsid w:val="003046D9"/>
    <w:rsid w:val="00306A38"/>
    <w:rsid w:val="00310B06"/>
    <w:rsid w:val="003158BA"/>
    <w:rsid w:val="003160FF"/>
    <w:rsid w:val="003256ED"/>
    <w:rsid w:val="003274BF"/>
    <w:rsid w:val="00330755"/>
    <w:rsid w:val="0033080A"/>
    <w:rsid w:val="00332271"/>
    <w:rsid w:val="003325A0"/>
    <w:rsid w:val="00333C70"/>
    <w:rsid w:val="00336D5B"/>
    <w:rsid w:val="00341BD2"/>
    <w:rsid w:val="00344511"/>
    <w:rsid w:val="00344FC7"/>
    <w:rsid w:val="00346542"/>
    <w:rsid w:val="00346EBE"/>
    <w:rsid w:val="00351421"/>
    <w:rsid w:val="00360BDF"/>
    <w:rsid w:val="00365742"/>
    <w:rsid w:val="00367DF1"/>
    <w:rsid w:val="00371532"/>
    <w:rsid w:val="00373E6D"/>
    <w:rsid w:val="00375859"/>
    <w:rsid w:val="0037618F"/>
    <w:rsid w:val="0037657A"/>
    <w:rsid w:val="003818D9"/>
    <w:rsid w:val="00382145"/>
    <w:rsid w:val="00382A3D"/>
    <w:rsid w:val="0039072D"/>
    <w:rsid w:val="003926E6"/>
    <w:rsid w:val="003949F6"/>
    <w:rsid w:val="003963E4"/>
    <w:rsid w:val="00396F10"/>
    <w:rsid w:val="003A19F7"/>
    <w:rsid w:val="003A3C50"/>
    <w:rsid w:val="003B5227"/>
    <w:rsid w:val="003B5AC5"/>
    <w:rsid w:val="003C463C"/>
    <w:rsid w:val="003E293B"/>
    <w:rsid w:val="003E728F"/>
    <w:rsid w:val="003E7BF0"/>
    <w:rsid w:val="003F0A5E"/>
    <w:rsid w:val="003F19C6"/>
    <w:rsid w:val="003F4210"/>
    <w:rsid w:val="003F4F92"/>
    <w:rsid w:val="003F4FBD"/>
    <w:rsid w:val="0040070A"/>
    <w:rsid w:val="004009D0"/>
    <w:rsid w:val="00402F38"/>
    <w:rsid w:val="004037EA"/>
    <w:rsid w:val="0040611D"/>
    <w:rsid w:val="00407A7F"/>
    <w:rsid w:val="00413916"/>
    <w:rsid w:val="00413B42"/>
    <w:rsid w:val="0042376E"/>
    <w:rsid w:val="0042421B"/>
    <w:rsid w:val="004331EA"/>
    <w:rsid w:val="00433469"/>
    <w:rsid w:val="004334D0"/>
    <w:rsid w:val="00433BED"/>
    <w:rsid w:val="00436506"/>
    <w:rsid w:val="00440F12"/>
    <w:rsid w:val="004474CB"/>
    <w:rsid w:val="00452BCA"/>
    <w:rsid w:val="00453C62"/>
    <w:rsid w:val="004540C8"/>
    <w:rsid w:val="00460EDD"/>
    <w:rsid w:val="00461E73"/>
    <w:rsid w:val="00463ED6"/>
    <w:rsid w:val="00466B97"/>
    <w:rsid w:val="00472739"/>
    <w:rsid w:val="00474F78"/>
    <w:rsid w:val="00481782"/>
    <w:rsid w:val="0048223F"/>
    <w:rsid w:val="0048352B"/>
    <w:rsid w:val="00486418"/>
    <w:rsid w:val="00491FD7"/>
    <w:rsid w:val="00492B4E"/>
    <w:rsid w:val="00497D66"/>
    <w:rsid w:val="004A6933"/>
    <w:rsid w:val="004B13E7"/>
    <w:rsid w:val="004B17EC"/>
    <w:rsid w:val="004B1EB0"/>
    <w:rsid w:val="004B2E29"/>
    <w:rsid w:val="004B33BC"/>
    <w:rsid w:val="004B6176"/>
    <w:rsid w:val="004B6442"/>
    <w:rsid w:val="004C13F6"/>
    <w:rsid w:val="004C19C5"/>
    <w:rsid w:val="004C1F28"/>
    <w:rsid w:val="004C42E3"/>
    <w:rsid w:val="004C4510"/>
    <w:rsid w:val="004C5F84"/>
    <w:rsid w:val="004D3361"/>
    <w:rsid w:val="004E3E44"/>
    <w:rsid w:val="004E50B5"/>
    <w:rsid w:val="004E51E4"/>
    <w:rsid w:val="004F573D"/>
    <w:rsid w:val="004F67B2"/>
    <w:rsid w:val="005003D3"/>
    <w:rsid w:val="00501401"/>
    <w:rsid w:val="005177C0"/>
    <w:rsid w:val="00517878"/>
    <w:rsid w:val="00520491"/>
    <w:rsid w:val="005212A8"/>
    <w:rsid w:val="00523072"/>
    <w:rsid w:val="005232F9"/>
    <w:rsid w:val="00525F1D"/>
    <w:rsid w:val="00527751"/>
    <w:rsid w:val="0053315E"/>
    <w:rsid w:val="0053773C"/>
    <w:rsid w:val="00542755"/>
    <w:rsid w:val="00542971"/>
    <w:rsid w:val="00557E94"/>
    <w:rsid w:val="00557FCD"/>
    <w:rsid w:val="00560C49"/>
    <w:rsid w:val="00570133"/>
    <w:rsid w:val="00570440"/>
    <w:rsid w:val="0057108E"/>
    <w:rsid w:val="005723BC"/>
    <w:rsid w:val="00573C00"/>
    <w:rsid w:val="00577FCF"/>
    <w:rsid w:val="0058247C"/>
    <w:rsid w:val="00583F93"/>
    <w:rsid w:val="005849C8"/>
    <w:rsid w:val="00585F6B"/>
    <w:rsid w:val="005867A0"/>
    <w:rsid w:val="00591696"/>
    <w:rsid w:val="00591BEE"/>
    <w:rsid w:val="005949C3"/>
    <w:rsid w:val="0059703C"/>
    <w:rsid w:val="005A3259"/>
    <w:rsid w:val="005A58B2"/>
    <w:rsid w:val="005A5996"/>
    <w:rsid w:val="005A5B52"/>
    <w:rsid w:val="005A7054"/>
    <w:rsid w:val="005B1651"/>
    <w:rsid w:val="005B47E3"/>
    <w:rsid w:val="005B508B"/>
    <w:rsid w:val="005B5C54"/>
    <w:rsid w:val="005B6EAD"/>
    <w:rsid w:val="005B7BB3"/>
    <w:rsid w:val="005C081F"/>
    <w:rsid w:val="005C1A39"/>
    <w:rsid w:val="005C3936"/>
    <w:rsid w:val="005C4DCE"/>
    <w:rsid w:val="005D147D"/>
    <w:rsid w:val="005D20E2"/>
    <w:rsid w:val="005D5058"/>
    <w:rsid w:val="005D7204"/>
    <w:rsid w:val="005D7E6F"/>
    <w:rsid w:val="005E25D5"/>
    <w:rsid w:val="005E2A68"/>
    <w:rsid w:val="005E36F4"/>
    <w:rsid w:val="005E3803"/>
    <w:rsid w:val="005E5D91"/>
    <w:rsid w:val="005E6F95"/>
    <w:rsid w:val="005E71FF"/>
    <w:rsid w:val="005F1033"/>
    <w:rsid w:val="005F233D"/>
    <w:rsid w:val="005F39F7"/>
    <w:rsid w:val="00603009"/>
    <w:rsid w:val="00604F00"/>
    <w:rsid w:val="00612513"/>
    <w:rsid w:val="006127AB"/>
    <w:rsid w:val="0062191A"/>
    <w:rsid w:val="0062265B"/>
    <w:rsid w:val="00624229"/>
    <w:rsid w:val="006255C2"/>
    <w:rsid w:val="0063247E"/>
    <w:rsid w:val="006377BF"/>
    <w:rsid w:val="00641B4C"/>
    <w:rsid w:val="006420DC"/>
    <w:rsid w:val="0064602D"/>
    <w:rsid w:val="00647B36"/>
    <w:rsid w:val="006611DA"/>
    <w:rsid w:val="006637C3"/>
    <w:rsid w:val="00663F83"/>
    <w:rsid w:val="0066625F"/>
    <w:rsid w:val="0067003E"/>
    <w:rsid w:val="00670CFD"/>
    <w:rsid w:val="00680701"/>
    <w:rsid w:val="0068454D"/>
    <w:rsid w:val="006907F4"/>
    <w:rsid w:val="006A08BA"/>
    <w:rsid w:val="006A7325"/>
    <w:rsid w:val="006B4E9F"/>
    <w:rsid w:val="006B73AE"/>
    <w:rsid w:val="006B771F"/>
    <w:rsid w:val="006C3563"/>
    <w:rsid w:val="006E28BA"/>
    <w:rsid w:val="006E3F3F"/>
    <w:rsid w:val="006F0EAB"/>
    <w:rsid w:val="006F1DF8"/>
    <w:rsid w:val="006F2463"/>
    <w:rsid w:val="006F749E"/>
    <w:rsid w:val="006F74BD"/>
    <w:rsid w:val="00700978"/>
    <w:rsid w:val="007015BA"/>
    <w:rsid w:val="0070717A"/>
    <w:rsid w:val="0071157F"/>
    <w:rsid w:val="007119CF"/>
    <w:rsid w:val="007126F5"/>
    <w:rsid w:val="00714087"/>
    <w:rsid w:val="007150F2"/>
    <w:rsid w:val="00715B1F"/>
    <w:rsid w:val="00716B17"/>
    <w:rsid w:val="00716D58"/>
    <w:rsid w:val="00717A8B"/>
    <w:rsid w:val="00720CEE"/>
    <w:rsid w:val="007223E2"/>
    <w:rsid w:val="00725832"/>
    <w:rsid w:val="007322DE"/>
    <w:rsid w:val="00733336"/>
    <w:rsid w:val="00735572"/>
    <w:rsid w:val="00741D45"/>
    <w:rsid w:val="00742CFF"/>
    <w:rsid w:val="00742E24"/>
    <w:rsid w:val="00746AA5"/>
    <w:rsid w:val="00750C8C"/>
    <w:rsid w:val="00751B58"/>
    <w:rsid w:val="00753B4C"/>
    <w:rsid w:val="00764D90"/>
    <w:rsid w:val="007679B9"/>
    <w:rsid w:val="007718FF"/>
    <w:rsid w:val="0077527B"/>
    <w:rsid w:val="00781596"/>
    <w:rsid w:val="00782958"/>
    <w:rsid w:val="00787753"/>
    <w:rsid w:val="00787E30"/>
    <w:rsid w:val="007951B7"/>
    <w:rsid w:val="007A1EA9"/>
    <w:rsid w:val="007A5919"/>
    <w:rsid w:val="007A5D55"/>
    <w:rsid w:val="007B6306"/>
    <w:rsid w:val="007C18E1"/>
    <w:rsid w:val="007C1BA1"/>
    <w:rsid w:val="007C7858"/>
    <w:rsid w:val="007C7E32"/>
    <w:rsid w:val="007D39EE"/>
    <w:rsid w:val="007D790C"/>
    <w:rsid w:val="007E29D9"/>
    <w:rsid w:val="007E4D30"/>
    <w:rsid w:val="007E60ED"/>
    <w:rsid w:val="007E7170"/>
    <w:rsid w:val="007F45C7"/>
    <w:rsid w:val="007F6230"/>
    <w:rsid w:val="00800F86"/>
    <w:rsid w:val="00803215"/>
    <w:rsid w:val="00806606"/>
    <w:rsid w:val="00806D4C"/>
    <w:rsid w:val="00810520"/>
    <w:rsid w:val="00814101"/>
    <w:rsid w:val="0081451B"/>
    <w:rsid w:val="008225D4"/>
    <w:rsid w:val="008257CF"/>
    <w:rsid w:val="00827A2B"/>
    <w:rsid w:val="0083423B"/>
    <w:rsid w:val="00835A9B"/>
    <w:rsid w:val="00837AE9"/>
    <w:rsid w:val="00837FE6"/>
    <w:rsid w:val="0084249E"/>
    <w:rsid w:val="00845A65"/>
    <w:rsid w:val="00854934"/>
    <w:rsid w:val="008557AF"/>
    <w:rsid w:val="0086364D"/>
    <w:rsid w:val="00864698"/>
    <w:rsid w:val="00865382"/>
    <w:rsid w:val="00872237"/>
    <w:rsid w:val="00872ECF"/>
    <w:rsid w:val="00874E3F"/>
    <w:rsid w:val="00877E78"/>
    <w:rsid w:val="00880146"/>
    <w:rsid w:val="00880190"/>
    <w:rsid w:val="00881A78"/>
    <w:rsid w:val="00882BF0"/>
    <w:rsid w:val="00882F54"/>
    <w:rsid w:val="00884EDE"/>
    <w:rsid w:val="0089110A"/>
    <w:rsid w:val="008917F1"/>
    <w:rsid w:val="0089275F"/>
    <w:rsid w:val="00892942"/>
    <w:rsid w:val="008931A6"/>
    <w:rsid w:val="0089566A"/>
    <w:rsid w:val="008A0D36"/>
    <w:rsid w:val="008A22F5"/>
    <w:rsid w:val="008A4FDD"/>
    <w:rsid w:val="008A633A"/>
    <w:rsid w:val="008A7020"/>
    <w:rsid w:val="008A7BB5"/>
    <w:rsid w:val="008B0BC8"/>
    <w:rsid w:val="008B1CBF"/>
    <w:rsid w:val="008B28C7"/>
    <w:rsid w:val="008B3BB3"/>
    <w:rsid w:val="008C3979"/>
    <w:rsid w:val="008C3C1A"/>
    <w:rsid w:val="008C70AB"/>
    <w:rsid w:val="008D0AEB"/>
    <w:rsid w:val="008D298D"/>
    <w:rsid w:val="008D3EC4"/>
    <w:rsid w:val="008D5B4E"/>
    <w:rsid w:val="008E54D9"/>
    <w:rsid w:val="008E65B5"/>
    <w:rsid w:val="008F351A"/>
    <w:rsid w:val="008F3AA7"/>
    <w:rsid w:val="008F6981"/>
    <w:rsid w:val="008F7111"/>
    <w:rsid w:val="009017F0"/>
    <w:rsid w:val="00901B70"/>
    <w:rsid w:val="00904A43"/>
    <w:rsid w:val="009056A6"/>
    <w:rsid w:val="00913288"/>
    <w:rsid w:val="00913691"/>
    <w:rsid w:val="00914FF7"/>
    <w:rsid w:val="00915897"/>
    <w:rsid w:val="0092138E"/>
    <w:rsid w:val="00925C6E"/>
    <w:rsid w:val="00930F3A"/>
    <w:rsid w:val="00935388"/>
    <w:rsid w:val="00935D5F"/>
    <w:rsid w:val="0093725F"/>
    <w:rsid w:val="0093730C"/>
    <w:rsid w:val="0094049B"/>
    <w:rsid w:val="00940BE4"/>
    <w:rsid w:val="00943165"/>
    <w:rsid w:val="009445F1"/>
    <w:rsid w:val="00946802"/>
    <w:rsid w:val="00946D8C"/>
    <w:rsid w:val="00950382"/>
    <w:rsid w:val="009543C2"/>
    <w:rsid w:val="00954DCD"/>
    <w:rsid w:val="00957FBB"/>
    <w:rsid w:val="00960895"/>
    <w:rsid w:val="00962476"/>
    <w:rsid w:val="00966478"/>
    <w:rsid w:val="009709D1"/>
    <w:rsid w:val="00971157"/>
    <w:rsid w:val="009749D0"/>
    <w:rsid w:val="00975A42"/>
    <w:rsid w:val="00976CD6"/>
    <w:rsid w:val="00980546"/>
    <w:rsid w:val="009811C0"/>
    <w:rsid w:val="00983085"/>
    <w:rsid w:val="00986951"/>
    <w:rsid w:val="00990943"/>
    <w:rsid w:val="009909CA"/>
    <w:rsid w:val="009912BB"/>
    <w:rsid w:val="00992B30"/>
    <w:rsid w:val="0099420B"/>
    <w:rsid w:val="00997B3B"/>
    <w:rsid w:val="009A108A"/>
    <w:rsid w:val="009A5123"/>
    <w:rsid w:val="009A7134"/>
    <w:rsid w:val="009B0307"/>
    <w:rsid w:val="009B7BE9"/>
    <w:rsid w:val="009C004E"/>
    <w:rsid w:val="009C66E1"/>
    <w:rsid w:val="009D46A0"/>
    <w:rsid w:val="009D4C65"/>
    <w:rsid w:val="009E05B6"/>
    <w:rsid w:val="009E1B6E"/>
    <w:rsid w:val="009F4534"/>
    <w:rsid w:val="009F4DBC"/>
    <w:rsid w:val="009F79BD"/>
    <w:rsid w:val="009F7F96"/>
    <w:rsid w:val="00A06382"/>
    <w:rsid w:val="00A101A3"/>
    <w:rsid w:val="00A13630"/>
    <w:rsid w:val="00A13C35"/>
    <w:rsid w:val="00A30B70"/>
    <w:rsid w:val="00A3255F"/>
    <w:rsid w:val="00A4270B"/>
    <w:rsid w:val="00A4531E"/>
    <w:rsid w:val="00A5067A"/>
    <w:rsid w:val="00A50E78"/>
    <w:rsid w:val="00A60A0F"/>
    <w:rsid w:val="00A61D1C"/>
    <w:rsid w:val="00A64DEE"/>
    <w:rsid w:val="00A67966"/>
    <w:rsid w:val="00A72DA0"/>
    <w:rsid w:val="00A827FF"/>
    <w:rsid w:val="00A914FC"/>
    <w:rsid w:val="00A9251B"/>
    <w:rsid w:val="00A939C1"/>
    <w:rsid w:val="00A940C5"/>
    <w:rsid w:val="00A97350"/>
    <w:rsid w:val="00A97F04"/>
    <w:rsid w:val="00AA1792"/>
    <w:rsid w:val="00AA2B0B"/>
    <w:rsid w:val="00AA33D6"/>
    <w:rsid w:val="00AA4D79"/>
    <w:rsid w:val="00AB05BB"/>
    <w:rsid w:val="00AB4A63"/>
    <w:rsid w:val="00AB6CC8"/>
    <w:rsid w:val="00AB6E91"/>
    <w:rsid w:val="00AB701B"/>
    <w:rsid w:val="00AC016C"/>
    <w:rsid w:val="00AC2A80"/>
    <w:rsid w:val="00AC52D9"/>
    <w:rsid w:val="00AC5791"/>
    <w:rsid w:val="00AC66D9"/>
    <w:rsid w:val="00AC7ABE"/>
    <w:rsid w:val="00AD2EB2"/>
    <w:rsid w:val="00AD3EDF"/>
    <w:rsid w:val="00AE47DD"/>
    <w:rsid w:val="00AE4B33"/>
    <w:rsid w:val="00AE7D0F"/>
    <w:rsid w:val="00AF6EB4"/>
    <w:rsid w:val="00AF6EFE"/>
    <w:rsid w:val="00B015E2"/>
    <w:rsid w:val="00B0190C"/>
    <w:rsid w:val="00B11D32"/>
    <w:rsid w:val="00B13C4F"/>
    <w:rsid w:val="00B15C49"/>
    <w:rsid w:val="00B178A5"/>
    <w:rsid w:val="00B206AF"/>
    <w:rsid w:val="00B24027"/>
    <w:rsid w:val="00B269BE"/>
    <w:rsid w:val="00B26F7F"/>
    <w:rsid w:val="00B2706A"/>
    <w:rsid w:val="00B34A19"/>
    <w:rsid w:val="00B351D5"/>
    <w:rsid w:val="00B41E4D"/>
    <w:rsid w:val="00B45579"/>
    <w:rsid w:val="00B456D0"/>
    <w:rsid w:val="00B47438"/>
    <w:rsid w:val="00B51C49"/>
    <w:rsid w:val="00B5444D"/>
    <w:rsid w:val="00B5449C"/>
    <w:rsid w:val="00B54A96"/>
    <w:rsid w:val="00B61601"/>
    <w:rsid w:val="00B62E65"/>
    <w:rsid w:val="00B637BA"/>
    <w:rsid w:val="00B63F96"/>
    <w:rsid w:val="00B71482"/>
    <w:rsid w:val="00B730FC"/>
    <w:rsid w:val="00B73262"/>
    <w:rsid w:val="00B73FA1"/>
    <w:rsid w:val="00B75C79"/>
    <w:rsid w:val="00B75D4F"/>
    <w:rsid w:val="00B8457A"/>
    <w:rsid w:val="00B862C8"/>
    <w:rsid w:val="00B865A5"/>
    <w:rsid w:val="00B87062"/>
    <w:rsid w:val="00B92ACB"/>
    <w:rsid w:val="00B96828"/>
    <w:rsid w:val="00BA0387"/>
    <w:rsid w:val="00BA0B67"/>
    <w:rsid w:val="00BA441D"/>
    <w:rsid w:val="00BA6052"/>
    <w:rsid w:val="00BB5236"/>
    <w:rsid w:val="00BB57A0"/>
    <w:rsid w:val="00BB6789"/>
    <w:rsid w:val="00BC0682"/>
    <w:rsid w:val="00BC29D2"/>
    <w:rsid w:val="00BC4504"/>
    <w:rsid w:val="00BC4704"/>
    <w:rsid w:val="00BC533A"/>
    <w:rsid w:val="00BC5B3D"/>
    <w:rsid w:val="00BC7695"/>
    <w:rsid w:val="00BD2171"/>
    <w:rsid w:val="00BD4748"/>
    <w:rsid w:val="00BD6FD4"/>
    <w:rsid w:val="00BD76E7"/>
    <w:rsid w:val="00BE4952"/>
    <w:rsid w:val="00C00FAB"/>
    <w:rsid w:val="00C030DB"/>
    <w:rsid w:val="00C0383A"/>
    <w:rsid w:val="00C03E55"/>
    <w:rsid w:val="00C05559"/>
    <w:rsid w:val="00C05C09"/>
    <w:rsid w:val="00C126A6"/>
    <w:rsid w:val="00C206A8"/>
    <w:rsid w:val="00C20A65"/>
    <w:rsid w:val="00C21392"/>
    <w:rsid w:val="00C24BB7"/>
    <w:rsid w:val="00C25667"/>
    <w:rsid w:val="00C26698"/>
    <w:rsid w:val="00C35275"/>
    <w:rsid w:val="00C371F5"/>
    <w:rsid w:val="00C40CE1"/>
    <w:rsid w:val="00C42B86"/>
    <w:rsid w:val="00C526C6"/>
    <w:rsid w:val="00C54311"/>
    <w:rsid w:val="00C54B8B"/>
    <w:rsid w:val="00C55003"/>
    <w:rsid w:val="00C55C15"/>
    <w:rsid w:val="00C63B4E"/>
    <w:rsid w:val="00C63CFC"/>
    <w:rsid w:val="00C67894"/>
    <w:rsid w:val="00C67D66"/>
    <w:rsid w:val="00C70411"/>
    <w:rsid w:val="00C7380F"/>
    <w:rsid w:val="00C74472"/>
    <w:rsid w:val="00C80851"/>
    <w:rsid w:val="00C81A77"/>
    <w:rsid w:val="00C81E3C"/>
    <w:rsid w:val="00C86FC4"/>
    <w:rsid w:val="00C87A9A"/>
    <w:rsid w:val="00C92AA9"/>
    <w:rsid w:val="00C94B1E"/>
    <w:rsid w:val="00CA145C"/>
    <w:rsid w:val="00CA1B24"/>
    <w:rsid w:val="00CA27F0"/>
    <w:rsid w:val="00CA2CDA"/>
    <w:rsid w:val="00CA3481"/>
    <w:rsid w:val="00CA41F8"/>
    <w:rsid w:val="00CB3585"/>
    <w:rsid w:val="00CB3CD9"/>
    <w:rsid w:val="00CC0CE7"/>
    <w:rsid w:val="00CC4492"/>
    <w:rsid w:val="00CC5033"/>
    <w:rsid w:val="00CC7EEC"/>
    <w:rsid w:val="00CD0A68"/>
    <w:rsid w:val="00CD1637"/>
    <w:rsid w:val="00CD6AD2"/>
    <w:rsid w:val="00CE40D0"/>
    <w:rsid w:val="00CE5007"/>
    <w:rsid w:val="00CF0532"/>
    <w:rsid w:val="00CF094E"/>
    <w:rsid w:val="00CF5DA7"/>
    <w:rsid w:val="00CF6B9E"/>
    <w:rsid w:val="00D01DF6"/>
    <w:rsid w:val="00D0373F"/>
    <w:rsid w:val="00D05AA0"/>
    <w:rsid w:val="00D06159"/>
    <w:rsid w:val="00D103AA"/>
    <w:rsid w:val="00D10C9E"/>
    <w:rsid w:val="00D16D5F"/>
    <w:rsid w:val="00D17D1F"/>
    <w:rsid w:val="00D23B59"/>
    <w:rsid w:val="00D309FF"/>
    <w:rsid w:val="00D33D77"/>
    <w:rsid w:val="00D364B4"/>
    <w:rsid w:val="00D37EBF"/>
    <w:rsid w:val="00D401E8"/>
    <w:rsid w:val="00D43418"/>
    <w:rsid w:val="00D512E3"/>
    <w:rsid w:val="00D564DF"/>
    <w:rsid w:val="00D5662C"/>
    <w:rsid w:val="00D62452"/>
    <w:rsid w:val="00D62C68"/>
    <w:rsid w:val="00D63A2B"/>
    <w:rsid w:val="00D63F23"/>
    <w:rsid w:val="00D63FA4"/>
    <w:rsid w:val="00D64566"/>
    <w:rsid w:val="00D651A1"/>
    <w:rsid w:val="00D65B52"/>
    <w:rsid w:val="00D66D6D"/>
    <w:rsid w:val="00D67966"/>
    <w:rsid w:val="00D67C1A"/>
    <w:rsid w:val="00D67C80"/>
    <w:rsid w:val="00D7726E"/>
    <w:rsid w:val="00D8164E"/>
    <w:rsid w:val="00D86939"/>
    <w:rsid w:val="00D87357"/>
    <w:rsid w:val="00D92885"/>
    <w:rsid w:val="00D92AB6"/>
    <w:rsid w:val="00D93A4A"/>
    <w:rsid w:val="00D94F16"/>
    <w:rsid w:val="00D96598"/>
    <w:rsid w:val="00D976E0"/>
    <w:rsid w:val="00D97F94"/>
    <w:rsid w:val="00DA4900"/>
    <w:rsid w:val="00DA5259"/>
    <w:rsid w:val="00DB3882"/>
    <w:rsid w:val="00DB63ED"/>
    <w:rsid w:val="00DB6C94"/>
    <w:rsid w:val="00DB7B2D"/>
    <w:rsid w:val="00DC1B5C"/>
    <w:rsid w:val="00DC204E"/>
    <w:rsid w:val="00DC22B7"/>
    <w:rsid w:val="00DC5235"/>
    <w:rsid w:val="00DD71BC"/>
    <w:rsid w:val="00DE10A6"/>
    <w:rsid w:val="00DE31A6"/>
    <w:rsid w:val="00DE7AD9"/>
    <w:rsid w:val="00DF29F8"/>
    <w:rsid w:val="00DF2CCC"/>
    <w:rsid w:val="00DF3E88"/>
    <w:rsid w:val="00DF508C"/>
    <w:rsid w:val="00E00D49"/>
    <w:rsid w:val="00E03CDC"/>
    <w:rsid w:val="00E043B9"/>
    <w:rsid w:val="00E077A9"/>
    <w:rsid w:val="00E11019"/>
    <w:rsid w:val="00E148AA"/>
    <w:rsid w:val="00E16765"/>
    <w:rsid w:val="00E20DB6"/>
    <w:rsid w:val="00E2592E"/>
    <w:rsid w:val="00E2660A"/>
    <w:rsid w:val="00E31837"/>
    <w:rsid w:val="00E31840"/>
    <w:rsid w:val="00E37056"/>
    <w:rsid w:val="00E37917"/>
    <w:rsid w:val="00E403AB"/>
    <w:rsid w:val="00E410AD"/>
    <w:rsid w:val="00E43FF6"/>
    <w:rsid w:val="00E4406F"/>
    <w:rsid w:val="00E521A1"/>
    <w:rsid w:val="00E56BB3"/>
    <w:rsid w:val="00E61CD0"/>
    <w:rsid w:val="00E6469C"/>
    <w:rsid w:val="00E74159"/>
    <w:rsid w:val="00E74621"/>
    <w:rsid w:val="00E74F23"/>
    <w:rsid w:val="00E839A5"/>
    <w:rsid w:val="00E85591"/>
    <w:rsid w:val="00E85E23"/>
    <w:rsid w:val="00E865D4"/>
    <w:rsid w:val="00E91A71"/>
    <w:rsid w:val="00E929E6"/>
    <w:rsid w:val="00EA0A6F"/>
    <w:rsid w:val="00EA47A2"/>
    <w:rsid w:val="00EA5982"/>
    <w:rsid w:val="00EB29CB"/>
    <w:rsid w:val="00EB3AC5"/>
    <w:rsid w:val="00EC5802"/>
    <w:rsid w:val="00EC6CE3"/>
    <w:rsid w:val="00EC7E51"/>
    <w:rsid w:val="00ED4BA0"/>
    <w:rsid w:val="00ED640C"/>
    <w:rsid w:val="00EE42C0"/>
    <w:rsid w:val="00EE47E8"/>
    <w:rsid w:val="00EE61EA"/>
    <w:rsid w:val="00EE6FCC"/>
    <w:rsid w:val="00EF025B"/>
    <w:rsid w:val="00EF1F0B"/>
    <w:rsid w:val="00EF261D"/>
    <w:rsid w:val="00EF4FC8"/>
    <w:rsid w:val="00EF5D1B"/>
    <w:rsid w:val="00EF65E3"/>
    <w:rsid w:val="00EF6AA6"/>
    <w:rsid w:val="00EF711C"/>
    <w:rsid w:val="00F00CEA"/>
    <w:rsid w:val="00F015B9"/>
    <w:rsid w:val="00F030AC"/>
    <w:rsid w:val="00F0578B"/>
    <w:rsid w:val="00F171C0"/>
    <w:rsid w:val="00F23F62"/>
    <w:rsid w:val="00F24AD0"/>
    <w:rsid w:val="00F24DD6"/>
    <w:rsid w:val="00F24F7C"/>
    <w:rsid w:val="00F25083"/>
    <w:rsid w:val="00F251A2"/>
    <w:rsid w:val="00F30C75"/>
    <w:rsid w:val="00F317D1"/>
    <w:rsid w:val="00F322CB"/>
    <w:rsid w:val="00F33BD2"/>
    <w:rsid w:val="00F36134"/>
    <w:rsid w:val="00F37713"/>
    <w:rsid w:val="00F400A9"/>
    <w:rsid w:val="00F411FD"/>
    <w:rsid w:val="00F422D4"/>
    <w:rsid w:val="00F4559A"/>
    <w:rsid w:val="00F47106"/>
    <w:rsid w:val="00F543D7"/>
    <w:rsid w:val="00F563C4"/>
    <w:rsid w:val="00F57D69"/>
    <w:rsid w:val="00F61FC1"/>
    <w:rsid w:val="00F7221A"/>
    <w:rsid w:val="00F74234"/>
    <w:rsid w:val="00F769E1"/>
    <w:rsid w:val="00F8035B"/>
    <w:rsid w:val="00F80832"/>
    <w:rsid w:val="00F83CB0"/>
    <w:rsid w:val="00F840B6"/>
    <w:rsid w:val="00F9133E"/>
    <w:rsid w:val="00F94474"/>
    <w:rsid w:val="00F957B2"/>
    <w:rsid w:val="00F961D3"/>
    <w:rsid w:val="00FA22F3"/>
    <w:rsid w:val="00FA3483"/>
    <w:rsid w:val="00FB0B61"/>
    <w:rsid w:val="00FB730E"/>
    <w:rsid w:val="00FC03FA"/>
    <w:rsid w:val="00FC0FF9"/>
    <w:rsid w:val="00FC322F"/>
    <w:rsid w:val="00FC45A3"/>
    <w:rsid w:val="00FC4AE9"/>
    <w:rsid w:val="00FC6E56"/>
    <w:rsid w:val="00FD1C02"/>
    <w:rsid w:val="00FD6352"/>
    <w:rsid w:val="00FD6AE1"/>
    <w:rsid w:val="00FE23C3"/>
    <w:rsid w:val="00FF0A96"/>
    <w:rsid w:val="00FF0DCC"/>
    <w:rsid w:val="00FF2123"/>
    <w:rsid w:val="00FF33C9"/>
    <w:rsid w:val="00FF477C"/>
    <w:rsid w:val="00FF4CE9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AA5"/>
  </w:style>
  <w:style w:type="paragraph" w:styleId="Footer">
    <w:name w:val="footer"/>
    <w:basedOn w:val="Normal"/>
    <w:link w:val="Foot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AA5"/>
  </w:style>
  <w:style w:type="paragraph" w:styleId="ListParagraph">
    <w:name w:val="List Paragraph"/>
    <w:basedOn w:val="Normal"/>
    <w:uiPriority w:val="34"/>
    <w:qFormat/>
    <w:rsid w:val="00C37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AA5"/>
  </w:style>
  <w:style w:type="paragraph" w:styleId="Footer">
    <w:name w:val="footer"/>
    <w:basedOn w:val="Normal"/>
    <w:link w:val="Foot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AA5"/>
  </w:style>
  <w:style w:type="paragraph" w:styleId="ListParagraph">
    <w:name w:val="List Paragraph"/>
    <w:basedOn w:val="Normal"/>
    <w:uiPriority w:val="34"/>
    <w:qFormat/>
    <w:rsid w:val="00C3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1736</Words>
  <Characters>9901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wrighta</dc:creator>
  <cp:lastModifiedBy>licensing</cp:lastModifiedBy>
  <cp:revision>2</cp:revision>
  <cp:lastPrinted>2012-10-04T19:39:00Z</cp:lastPrinted>
  <dcterms:created xsi:type="dcterms:W3CDTF">2013-01-16T18:20:00Z</dcterms:created>
  <dcterms:modified xsi:type="dcterms:W3CDTF">2013-01-16T18:20:00Z</dcterms:modified>
</cp:coreProperties>
</file>