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542"/>
      </w:tblGrid>
      <w:tr w:rsidR="00B633F4" w:rsidRPr="00B633F4" w14:paraId="67C37B63" w14:textId="77777777" w:rsidTr="00B633F4">
        <w:tc>
          <w:tcPr>
            <w:tcW w:w="0" w:type="auto"/>
          </w:tcPr>
          <w:p w14:paraId="4E9C9067" w14:textId="77777777" w:rsidR="00B633F4" w:rsidRPr="00B633F4" w:rsidRDefault="00B633F4" w:rsidP="005B16C1">
            <w:pPr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B633F4">
              <w:rPr>
                <w:rFonts w:ascii="Arial" w:hAnsi="Arial" w:cs="Arial"/>
                <w:b/>
                <w:sz w:val="24"/>
                <w:szCs w:val="24"/>
              </w:rPr>
              <w:t>Dr. Andrew Medeiros</w:t>
            </w:r>
          </w:p>
        </w:tc>
        <w:tc>
          <w:tcPr>
            <w:tcW w:w="0" w:type="auto"/>
          </w:tcPr>
          <w:p w14:paraId="675CA219" w14:textId="77777777" w:rsidR="00B633F4" w:rsidRPr="00B633F4" w:rsidRDefault="00B633F4" w:rsidP="005B16C1">
            <w:pPr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  <w:r w:rsidRPr="00B633F4">
              <w:rPr>
                <w:rFonts w:ascii="Arial" w:hAnsi="Arial" w:cs="Arial"/>
                <w:b/>
                <w:sz w:val="24"/>
                <w:szCs w:val="24"/>
              </w:rPr>
              <w:t xml:space="preserve">Dr. Barret </w:t>
            </w:r>
            <w:proofErr w:type="spellStart"/>
            <w:r w:rsidRPr="00B633F4">
              <w:rPr>
                <w:rFonts w:ascii="Arial" w:hAnsi="Arial" w:cs="Arial"/>
                <w:b/>
                <w:sz w:val="24"/>
                <w:szCs w:val="24"/>
              </w:rPr>
              <w:t>Kurylyk</w:t>
            </w:r>
            <w:proofErr w:type="spellEnd"/>
          </w:p>
        </w:tc>
      </w:tr>
      <w:tr w:rsidR="00B633F4" w:rsidRPr="00B633F4" w14:paraId="5AA12611" w14:textId="77777777" w:rsidTr="00B633F4">
        <w:trPr>
          <w:trHeight w:val="243"/>
        </w:trPr>
        <w:tc>
          <w:tcPr>
            <w:tcW w:w="0" w:type="auto"/>
          </w:tcPr>
          <w:p w14:paraId="51616ACB" w14:textId="7D24EFD3" w:rsidR="00B633F4" w:rsidRPr="00B633F4" w:rsidRDefault="00B633F4" w:rsidP="005B16C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33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Assistant Professor</w:t>
            </w:r>
          </w:p>
        </w:tc>
        <w:tc>
          <w:tcPr>
            <w:tcW w:w="0" w:type="auto"/>
          </w:tcPr>
          <w:p w14:paraId="214AC1D1" w14:textId="4BB2E1D1" w:rsidR="00B633F4" w:rsidRPr="00B633F4" w:rsidRDefault="00B633F4" w:rsidP="005B16C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33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Assistant Professor</w:t>
            </w:r>
          </w:p>
          <w:p w14:paraId="4BFA411F" w14:textId="77777777" w:rsidR="00B633F4" w:rsidRPr="00B633F4" w:rsidRDefault="00B633F4" w:rsidP="005B16C1">
            <w:pPr>
              <w:ind w:right="4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33F4" w:rsidRPr="00B633F4" w14:paraId="427FA76A" w14:textId="77777777" w:rsidTr="00B633F4">
        <w:tc>
          <w:tcPr>
            <w:tcW w:w="0" w:type="auto"/>
          </w:tcPr>
          <w:p w14:paraId="340DD2BF" w14:textId="15CE501B" w:rsidR="00B633F4" w:rsidRPr="00B633F4" w:rsidRDefault="00B633F4" w:rsidP="00B633F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33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Centre for Water Resource Studies, Dalhousie University</w:t>
            </w:r>
          </w:p>
        </w:tc>
        <w:tc>
          <w:tcPr>
            <w:tcW w:w="0" w:type="auto"/>
          </w:tcPr>
          <w:p w14:paraId="620059BE" w14:textId="1990A0C4" w:rsidR="00B633F4" w:rsidRPr="00B633F4" w:rsidRDefault="00B633F4" w:rsidP="00B633F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B633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Centre for Water Resource Studies, Dalhousie University</w:t>
            </w:r>
          </w:p>
        </w:tc>
      </w:tr>
      <w:tr w:rsidR="00B633F4" w:rsidRPr="00B633F4" w14:paraId="012D49B4" w14:textId="77777777" w:rsidTr="00B633F4">
        <w:tc>
          <w:tcPr>
            <w:tcW w:w="0" w:type="auto"/>
          </w:tcPr>
          <w:p w14:paraId="36465BBC" w14:textId="7734832F" w:rsidR="00B633F4" w:rsidRPr="00B633F4" w:rsidRDefault="00B633F4" w:rsidP="005B16C1">
            <w:pPr>
              <w:ind w:right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B633F4">
              <w:rPr>
                <w:rFonts w:ascii="Arial" w:hAnsi="Arial" w:cs="Arial"/>
                <w:sz w:val="24"/>
                <w:szCs w:val="24"/>
              </w:rPr>
              <w:t>ndrew.medeiros@dal.ca</w:t>
            </w:r>
          </w:p>
        </w:tc>
        <w:tc>
          <w:tcPr>
            <w:tcW w:w="0" w:type="auto"/>
          </w:tcPr>
          <w:p w14:paraId="443A070D" w14:textId="77777777" w:rsidR="00B633F4" w:rsidRPr="00B633F4" w:rsidRDefault="00B633F4" w:rsidP="005B16C1">
            <w:pPr>
              <w:ind w:right="4"/>
              <w:rPr>
                <w:rFonts w:ascii="Arial" w:hAnsi="Arial" w:cs="Arial"/>
                <w:sz w:val="24"/>
                <w:szCs w:val="24"/>
              </w:rPr>
            </w:pPr>
            <w:r w:rsidRPr="00B633F4">
              <w:rPr>
                <w:rFonts w:ascii="Arial" w:hAnsi="Arial" w:cs="Arial"/>
                <w:sz w:val="24"/>
                <w:szCs w:val="24"/>
              </w:rPr>
              <w:t>barret.kurylyk@dal.ca</w:t>
            </w:r>
          </w:p>
        </w:tc>
      </w:tr>
    </w:tbl>
    <w:p w14:paraId="68C42AC7" w14:textId="417138E9" w:rsidR="00B633F4" w:rsidRDefault="00B633F4"/>
    <w:p w14:paraId="2FA1172B" w14:textId="4CA1CFE3" w:rsidR="00B633F4" w:rsidRPr="00B633F4" w:rsidRDefault="00B633F4">
      <w:pPr>
        <w:rPr>
          <w:rFonts w:ascii="Arial" w:hAnsi="Arial" w:cs="Arial"/>
          <w:b/>
          <w:sz w:val="24"/>
          <w:szCs w:val="24"/>
        </w:rPr>
      </w:pPr>
      <w:r w:rsidRPr="00B633F4">
        <w:rPr>
          <w:rFonts w:ascii="Arial" w:hAnsi="Arial" w:cs="Arial"/>
          <w:b/>
          <w:sz w:val="24"/>
          <w:szCs w:val="24"/>
        </w:rPr>
        <w:t>Water Resource Assess</w:t>
      </w:r>
      <w:bookmarkStart w:id="0" w:name="_GoBack"/>
      <w:bookmarkEnd w:id="0"/>
      <w:r w:rsidRPr="00B633F4">
        <w:rPr>
          <w:rFonts w:ascii="Arial" w:hAnsi="Arial" w:cs="Arial"/>
          <w:b/>
          <w:sz w:val="24"/>
          <w:szCs w:val="24"/>
        </w:rPr>
        <w:t>ment for Coral Harbour</w:t>
      </w:r>
    </w:p>
    <w:p w14:paraId="3BE4ABB8" w14:textId="77777777" w:rsidR="00B633F4" w:rsidRPr="00B633F4" w:rsidRDefault="00B633F4">
      <w:pPr>
        <w:rPr>
          <w:rFonts w:ascii="Arial" w:hAnsi="Arial" w:cs="Arial"/>
          <w:sz w:val="24"/>
          <w:szCs w:val="24"/>
        </w:rPr>
      </w:pPr>
    </w:p>
    <w:p w14:paraId="138396B3" w14:textId="48A9F9E5" w:rsidR="00E43627" w:rsidRPr="00B633F4" w:rsidRDefault="00412495">
      <w:pPr>
        <w:rPr>
          <w:rFonts w:ascii="Arial" w:hAnsi="Arial" w:cs="Arial"/>
          <w:sz w:val="24"/>
          <w:szCs w:val="24"/>
        </w:rPr>
      </w:pPr>
      <w:r w:rsidRPr="00B633F4">
        <w:rPr>
          <w:rFonts w:ascii="Arial" w:hAnsi="Arial" w:cs="Arial"/>
          <w:sz w:val="24"/>
          <w:szCs w:val="24"/>
        </w:rPr>
        <w:t xml:space="preserve">Water supply for Coral Harbour, Nunavut </w:t>
      </w:r>
      <w:proofErr w:type="gramStart"/>
      <w:r w:rsidRPr="00B633F4">
        <w:rPr>
          <w:rFonts w:ascii="Arial" w:hAnsi="Arial" w:cs="Arial"/>
          <w:sz w:val="24"/>
          <w:szCs w:val="24"/>
        </w:rPr>
        <w:t>is sourced</w:t>
      </w:r>
      <w:proofErr w:type="gramEnd"/>
      <w:r w:rsidRPr="00B633F4">
        <w:rPr>
          <w:rFonts w:ascii="Arial" w:hAnsi="Arial" w:cs="Arial"/>
          <w:sz w:val="24"/>
          <w:szCs w:val="24"/>
        </w:rPr>
        <w:t xml:space="preserve"> from a river-fed reservoir. There have been instances of high electrical conductivity, which raises concerns regarding saltwater intrusion from Hudson Bay. A team (Dr. Barret Kurylyk and Dr. Julia Guimond) from the Dalhousie Coastal Hydrology Lab plans to conduct a reconnaissance field campaign to characterise the river hydrodynamics and to investigate potential sources and pathways for saltwater, including </w:t>
      </w:r>
      <w:r w:rsidR="00232CC6" w:rsidRPr="00B633F4">
        <w:rPr>
          <w:rFonts w:ascii="Arial" w:hAnsi="Arial" w:cs="Arial"/>
          <w:sz w:val="24"/>
          <w:szCs w:val="24"/>
        </w:rPr>
        <w:t>via</w:t>
      </w:r>
      <w:r w:rsidRPr="00B633F4">
        <w:rPr>
          <w:rFonts w:ascii="Arial" w:hAnsi="Arial" w:cs="Arial"/>
          <w:sz w:val="24"/>
          <w:szCs w:val="24"/>
        </w:rPr>
        <w:t xml:space="preserve"> the river, the shallow subsurface, and sea spray.</w:t>
      </w:r>
      <w:r w:rsidR="00232CC6" w:rsidRPr="00B633F4">
        <w:rPr>
          <w:rFonts w:ascii="Arial" w:hAnsi="Arial" w:cs="Arial"/>
          <w:sz w:val="24"/>
          <w:szCs w:val="24"/>
        </w:rPr>
        <w:t xml:space="preserve"> The team will use non-invasive instruments to investigate the interactions between the bay and the river and to assess potential subsurface salinity dynamics. Loggers </w:t>
      </w:r>
      <w:proofErr w:type="gramStart"/>
      <w:r w:rsidR="00232CC6" w:rsidRPr="00B633F4">
        <w:rPr>
          <w:rFonts w:ascii="Arial" w:hAnsi="Arial" w:cs="Arial"/>
          <w:sz w:val="24"/>
          <w:szCs w:val="24"/>
        </w:rPr>
        <w:t>will be placed</w:t>
      </w:r>
      <w:proofErr w:type="gramEnd"/>
      <w:r w:rsidR="00232CC6" w:rsidRPr="00B633F4">
        <w:rPr>
          <w:rFonts w:ascii="Arial" w:hAnsi="Arial" w:cs="Arial"/>
          <w:sz w:val="24"/>
          <w:szCs w:val="24"/>
        </w:rPr>
        <w:t xml:space="preserve"> along the river to measure water level, salinity, and temperature, which will provide new understanding on coastal zone mixing in the river. Geophysical instruments </w:t>
      </w:r>
      <w:proofErr w:type="gramStart"/>
      <w:r w:rsidR="00232CC6" w:rsidRPr="00B633F4">
        <w:rPr>
          <w:rFonts w:ascii="Arial" w:hAnsi="Arial" w:cs="Arial"/>
          <w:sz w:val="24"/>
          <w:szCs w:val="24"/>
        </w:rPr>
        <w:t>will be used</w:t>
      </w:r>
      <w:proofErr w:type="gramEnd"/>
      <w:r w:rsidR="00232CC6" w:rsidRPr="00B633F4">
        <w:rPr>
          <w:rFonts w:ascii="Arial" w:hAnsi="Arial" w:cs="Arial"/>
          <w:sz w:val="24"/>
          <w:szCs w:val="24"/>
        </w:rPr>
        <w:t xml:space="preserve"> to measure the ground electrical resistivity to </w:t>
      </w:r>
      <w:r w:rsidR="00675192" w:rsidRPr="00B633F4">
        <w:rPr>
          <w:rFonts w:ascii="Arial" w:hAnsi="Arial" w:cs="Arial"/>
          <w:sz w:val="24"/>
          <w:szCs w:val="24"/>
        </w:rPr>
        <w:t>map</w:t>
      </w:r>
      <w:r w:rsidR="00232CC6" w:rsidRPr="00B633F4">
        <w:rPr>
          <w:rFonts w:ascii="Arial" w:hAnsi="Arial" w:cs="Arial"/>
          <w:sz w:val="24"/>
          <w:szCs w:val="24"/>
        </w:rPr>
        <w:t xml:space="preserve"> where there are saltwater (low resistivity) and freshwater (high resistivity) zones. Surveys </w:t>
      </w:r>
      <w:proofErr w:type="gramStart"/>
      <w:r w:rsidR="00232CC6" w:rsidRPr="00B633F4">
        <w:rPr>
          <w:rFonts w:ascii="Arial" w:hAnsi="Arial" w:cs="Arial"/>
          <w:sz w:val="24"/>
          <w:szCs w:val="24"/>
        </w:rPr>
        <w:t>will be taken</w:t>
      </w:r>
      <w:proofErr w:type="gramEnd"/>
      <w:r w:rsidR="00232CC6" w:rsidRPr="00B633F4">
        <w:rPr>
          <w:rFonts w:ascii="Arial" w:hAnsi="Arial" w:cs="Arial"/>
          <w:sz w:val="24"/>
          <w:szCs w:val="24"/>
        </w:rPr>
        <w:t xml:space="preserve"> along the coastline and the riverbanks. Water samples </w:t>
      </w:r>
      <w:proofErr w:type="gramStart"/>
      <w:r w:rsidR="00232CC6" w:rsidRPr="00B633F4">
        <w:rPr>
          <w:rFonts w:ascii="Arial" w:hAnsi="Arial" w:cs="Arial"/>
          <w:sz w:val="24"/>
          <w:szCs w:val="24"/>
        </w:rPr>
        <w:t>will be collected</w:t>
      </w:r>
      <w:proofErr w:type="gramEnd"/>
      <w:r w:rsidR="00232CC6" w:rsidRPr="00B633F4">
        <w:rPr>
          <w:rFonts w:ascii="Arial" w:hAnsi="Arial" w:cs="Arial"/>
          <w:sz w:val="24"/>
          <w:szCs w:val="24"/>
        </w:rPr>
        <w:t xml:space="preserve"> to transport back to Halifax to assess the water chemistry and to fingerprint salt sources.</w:t>
      </w:r>
      <w:r w:rsidR="00675192" w:rsidRPr="00B633F4">
        <w:rPr>
          <w:rFonts w:ascii="Arial" w:hAnsi="Arial" w:cs="Arial"/>
          <w:sz w:val="24"/>
          <w:szCs w:val="24"/>
        </w:rPr>
        <w:t xml:space="preserve"> Sensors </w:t>
      </w:r>
      <w:proofErr w:type="gramStart"/>
      <w:r w:rsidR="00675192" w:rsidRPr="00B633F4">
        <w:rPr>
          <w:rFonts w:ascii="Arial" w:hAnsi="Arial" w:cs="Arial"/>
          <w:sz w:val="24"/>
          <w:szCs w:val="24"/>
        </w:rPr>
        <w:t>may be used</w:t>
      </w:r>
      <w:proofErr w:type="gramEnd"/>
      <w:r w:rsidR="00675192" w:rsidRPr="00B633F4">
        <w:rPr>
          <w:rFonts w:ascii="Arial" w:hAnsi="Arial" w:cs="Arial"/>
          <w:sz w:val="24"/>
          <w:szCs w:val="24"/>
        </w:rPr>
        <w:t xml:space="preserve"> to measure total dissolved solids, dissolved oxygen, and other water quality parameters in the river.</w:t>
      </w:r>
      <w:r w:rsidR="00232CC6" w:rsidRPr="00B633F4">
        <w:rPr>
          <w:rFonts w:ascii="Arial" w:hAnsi="Arial" w:cs="Arial"/>
          <w:sz w:val="24"/>
          <w:szCs w:val="24"/>
        </w:rPr>
        <w:t xml:space="preserve"> Collectively, these data will</w:t>
      </w:r>
      <w:r w:rsidR="00675192" w:rsidRPr="00B633F4">
        <w:rPr>
          <w:rFonts w:ascii="Arial" w:hAnsi="Arial" w:cs="Arial"/>
          <w:sz w:val="24"/>
          <w:szCs w:val="24"/>
        </w:rPr>
        <w:t xml:space="preserve"> </w:t>
      </w:r>
      <w:r w:rsidR="00232CC6" w:rsidRPr="00B633F4">
        <w:rPr>
          <w:rFonts w:ascii="Arial" w:hAnsi="Arial" w:cs="Arial"/>
          <w:sz w:val="24"/>
          <w:szCs w:val="24"/>
        </w:rPr>
        <w:t xml:space="preserve">reveal the tidal dynamics in the river and help identify potential mechanisms for drinking water salinization. The first trip will be in early July (e.g. 5 days in Coral Harbour), and a potential follow-up trip will likely be undertaken later in the summer (late July to early August). Results </w:t>
      </w:r>
      <w:proofErr w:type="gramStart"/>
      <w:r w:rsidR="00232CC6" w:rsidRPr="00B633F4">
        <w:rPr>
          <w:rFonts w:ascii="Arial" w:hAnsi="Arial" w:cs="Arial"/>
          <w:sz w:val="24"/>
          <w:szCs w:val="24"/>
        </w:rPr>
        <w:t>will be shared with and interpreted for the community and Territory as desired</w:t>
      </w:r>
      <w:proofErr w:type="gramEnd"/>
      <w:r w:rsidR="00232CC6" w:rsidRPr="00B633F4">
        <w:rPr>
          <w:rFonts w:ascii="Arial" w:hAnsi="Arial" w:cs="Arial"/>
          <w:sz w:val="24"/>
          <w:szCs w:val="24"/>
        </w:rPr>
        <w:t>.</w:t>
      </w:r>
    </w:p>
    <w:sectPr w:rsidR="00E43627" w:rsidRPr="00B633F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95"/>
    <w:rsid w:val="00232CC6"/>
    <w:rsid w:val="00412495"/>
    <w:rsid w:val="00675192"/>
    <w:rsid w:val="00B633F4"/>
    <w:rsid w:val="00E4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6BDE"/>
  <w15:chartTrackingRefBased/>
  <w15:docId w15:val="{58F35361-D68B-485F-AD41-FE07D266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 Kurylyk</dc:creator>
  <cp:keywords/>
  <dc:description/>
  <cp:lastModifiedBy>Windows User</cp:lastModifiedBy>
  <cp:revision>2</cp:revision>
  <dcterms:created xsi:type="dcterms:W3CDTF">2022-03-25T21:51:00Z</dcterms:created>
  <dcterms:modified xsi:type="dcterms:W3CDTF">2022-04-22T11:54:00Z</dcterms:modified>
</cp:coreProperties>
</file>